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F783" w14:textId="4A3BBC81" w:rsidR="00CC6C06" w:rsidRPr="00D6388D" w:rsidRDefault="00FC7581" w:rsidP="00D6388D">
      <w:pPr>
        <w:ind w:firstLine="0"/>
        <w:jc w:val="center"/>
        <w:rPr>
          <w:b/>
          <w:bCs/>
          <w:sz w:val="28"/>
          <w:szCs w:val="28"/>
          <w:lang w:val="en-US"/>
        </w:rPr>
      </w:pPr>
      <w:r w:rsidRPr="00D6388D">
        <w:rPr>
          <w:b/>
          <w:bCs/>
          <w:sz w:val="28"/>
          <w:szCs w:val="28"/>
          <w:lang w:val="en-US"/>
        </w:rPr>
        <w:t xml:space="preserve">When should we (not) use the </w:t>
      </w:r>
      <w:r w:rsidR="00CC6C06" w:rsidRPr="00D6388D">
        <w:rPr>
          <w:b/>
          <w:bCs/>
          <w:sz w:val="28"/>
          <w:szCs w:val="28"/>
          <w:lang w:val="en-US"/>
        </w:rPr>
        <w:t>mean magnitude of relative error (MMRE) as a</w:t>
      </w:r>
      <w:r w:rsidR="0059780C" w:rsidRPr="00D6388D">
        <w:rPr>
          <w:b/>
          <w:bCs/>
          <w:sz w:val="28"/>
          <w:szCs w:val="28"/>
          <w:lang w:val="en-US"/>
        </w:rPr>
        <w:t xml:space="preserve">n error </w:t>
      </w:r>
      <w:r w:rsidR="00CC6C06" w:rsidRPr="00D6388D">
        <w:rPr>
          <w:b/>
          <w:bCs/>
          <w:sz w:val="28"/>
          <w:szCs w:val="28"/>
          <w:lang w:val="en-US"/>
        </w:rPr>
        <w:t>measure</w:t>
      </w:r>
      <w:r w:rsidR="009B2E08" w:rsidRPr="00D6388D">
        <w:rPr>
          <w:b/>
          <w:bCs/>
          <w:sz w:val="28"/>
          <w:szCs w:val="28"/>
          <w:lang w:val="en-US"/>
        </w:rPr>
        <w:t xml:space="preserve"> in </w:t>
      </w:r>
      <w:r w:rsidR="002D78FC" w:rsidRPr="00D6388D">
        <w:rPr>
          <w:b/>
          <w:bCs/>
          <w:sz w:val="28"/>
          <w:szCs w:val="28"/>
          <w:lang w:val="en-US"/>
        </w:rPr>
        <w:t xml:space="preserve">software development </w:t>
      </w:r>
      <w:r w:rsidR="009B2E08" w:rsidRPr="00D6388D">
        <w:rPr>
          <w:b/>
          <w:bCs/>
          <w:sz w:val="28"/>
          <w:szCs w:val="28"/>
          <w:lang w:val="en-US"/>
        </w:rPr>
        <w:t>effort estimation</w:t>
      </w:r>
      <w:r w:rsidRPr="00D6388D">
        <w:rPr>
          <w:b/>
          <w:bCs/>
          <w:sz w:val="28"/>
          <w:szCs w:val="28"/>
          <w:lang w:val="en-US"/>
        </w:rPr>
        <w:t>?</w:t>
      </w:r>
    </w:p>
    <w:p w14:paraId="0ADA408B" w14:textId="4E37A6E7" w:rsidR="00CC6C06" w:rsidRPr="006A3DE8" w:rsidRDefault="00CC6C06" w:rsidP="00D6388D">
      <w:pPr>
        <w:jc w:val="center"/>
        <w:rPr>
          <w:b/>
          <w:bCs/>
          <w:szCs w:val="20"/>
          <w:lang w:val="en-US"/>
        </w:rPr>
      </w:pPr>
    </w:p>
    <w:p w14:paraId="480AD591" w14:textId="1369425C" w:rsidR="00222E8C" w:rsidRPr="001806AA" w:rsidRDefault="00222E8C" w:rsidP="00D6388D">
      <w:pPr>
        <w:ind w:firstLine="0"/>
        <w:jc w:val="center"/>
        <w:rPr>
          <w:szCs w:val="20"/>
        </w:rPr>
      </w:pPr>
      <w:r w:rsidRPr="001806AA">
        <w:rPr>
          <w:szCs w:val="20"/>
        </w:rPr>
        <w:t>Magne Jørgensen, Torleif Halkjelsvik, Knut Liestøl</w:t>
      </w:r>
    </w:p>
    <w:p w14:paraId="14115321" w14:textId="77777777" w:rsidR="00222E8C" w:rsidRPr="006A3DE8" w:rsidRDefault="00222E8C" w:rsidP="00B6338F">
      <w:pPr>
        <w:rPr>
          <w:b/>
          <w:bCs/>
          <w:szCs w:val="20"/>
        </w:rPr>
      </w:pPr>
    </w:p>
    <w:p w14:paraId="18134CD0" w14:textId="6F85B071" w:rsidR="00F23D5C" w:rsidRPr="006A3DE8" w:rsidRDefault="00F23D5C" w:rsidP="008D5F9F">
      <w:pPr>
        <w:ind w:firstLine="0"/>
        <w:rPr>
          <w:b/>
          <w:bCs/>
          <w:szCs w:val="20"/>
          <w:lang w:val="en-US"/>
        </w:rPr>
      </w:pPr>
      <w:r w:rsidRPr="006A3DE8">
        <w:rPr>
          <w:b/>
          <w:bCs/>
          <w:szCs w:val="20"/>
          <w:lang w:val="en-US"/>
        </w:rPr>
        <w:t>Abstract</w:t>
      </w:r>
      <w:r w:rsidR="00710E58" w:rsidRPr="006A3DE8">
        <w:rPr>
          <w:b/>
          <w:bCs/>
          <w:szCs w:val="20"/>
          <w:lang w:val="en-US"/>
        </w:rPr>
        <w:t xml:space="preserve"> </w:t>
      </w:r>
    </w:p>
    <w:p w14:paraId="6968874D" w14:textId="346083D0" w:rsidR="005C6390" w:rsidRPr="006A3DE8" w:rsidRDefault="00F23D5C" w:rsidP="008D5F9F">
      <w:pPr>
        <w:ind w:firstLine="0"/>
        <w:rPr>
          <w:szCs w:val="20"/>
          <w:lang w:val="en-US"/>
        </w:rPr>
      </w:pPr>
      <w:r w:rsidRPr="006A3DE8">
        <w:rPr>
          <w:b/>
          <w:bCs/>
          <w:szCs w:val="20"/>
          <w:lang w:val="en-US"/>
        </w:rPr>
        <w:t>Context</w:t>
      </w:r>
      <w:r w:rsidR="00E24A66" w:rsidRPr="006A3DE8">
        <w:rPr>
          <w:szCs w:val="20"/>
          <w:lang w:val="en-US"/>
        </w:rPr>
        <w:t xml:space="preserve">: </w:t>
      </w:r>
      <w:r w:rsidR="00A77464" w:rsidRPr="006A3DE8">
        <w:rPr>
          <w:szCs w:val="20"/>
          <w:lang w:val="en-US"/>
        </w:rPr>
        <w:t>T</w:t>
      </w:r>
      <w:r w:rsidR="005C7029" w:rsidRPr="006A3DE8">
        <w:rPr>
          <w:szCs w:val="20"/>
          <w:lang w:val="en-US"/>
        </w:rPr>
        <w:t xml:space="preserve">he </w:t>
      </w:r>
      <w:r w:rsidR="00C46877" w:rsidRPr="006A3DE8">
        <w:rPr>
          <w:szCs w:val="20"/>
          <w:lang w:val="en-US"/>
        </w:rPr>
        <w:t xml:space="preserve">mean </w:t>
      </w:r>
      <w:r w:rsidR="00A77464" w:rsidRPr="006A3DE8">
        <w:rPr>
          <w:szCs w:val="20"/>
          <w:lang w:val="en-US"/>
        </w:rPr>
        <w:t xml:space="preserve">magnitude of relative error (MMRE) </w:t>
      </w:r>
      <w:r w:rsidR="002808CB" w:rsidRPr="006A3DE8">
        <w:rPr>
          <w:szCs w:val="20"/>
          <w:lang w:val="en-US"/>
        </w:rPr>
        <w:t>is</w:t>
      </w:r>
      <w:r w:rsidR="00535B1F" w:rsidRPr="006A3DE8">
        <w:rPr>
          <w:szCs w:val="20"/>
          <w:lang w:val="en-US"/>
        </w:rPr>
        <w:t xml:space="preserve"> a</w:t>
      </w:r>
      <w:r w:rsidR="00E31D3A" w:rsidRPr="006A3DE8">
        <w:rPr>
          <w:szCs w:val="20"/>
          <w:lang w:val="en-US"/>
        </w:rPr>
        <w:t xml:space="preserve">n error </w:t>
      </w:r>
      <w:r w:rsidR="00535B1F" w:rsidRPr="006A3DE8">
        <w:rPr>
          <w:szCs w:val="20"/>
          <w:lang w:val="en-US"/>
        </w:rPr>
        <w:t>measure</w:t>
      </w:r>
      <w:r w:rsidR="002808CB" w:rsidRPr="006A3DE8">
        <w:rPr>
          <w:szCs w:val="20"/>
          <w:lang w:val="en-US"/>
        </w:rPr>
        <w:t xml:space="preserve"> frequently used</w:t>
      </w:r>
      <w:r w:rsidR="005C6390" w:rsidRPr="006A3DE8">
        <w:rPr>
          <w:szCs w:val="20"/>
          <w:lang w:val="en-US"/>
        </w:rPr>
        <w:t xml:space="preserve"> to </w:t>
      </w:r>
      <w:r w:rsidR="00DB58CE" w:rsidRPr="006A3DE8">
        <w:rPr>
          <w:szCs w:val="20"/>
          <w:lang w:val="en-US"/>
        </w:rPr>
        <w:t xml:space="preserve">evaluate and </w:t>
      </w:r>
      <w:r w:rsidR="005C6390" w:rsidRPr="006A3DE8">
        <w:rPr>
          <w:szCs w:val="20"/>
          <w:lang w:val="en-US"/>
        </w:rPr>
        <w:t xml:space="preserve">compare the </w:t>
      </w:r>
      <w:r w:rsidR="004C45C5" w:rsidRPr="006A3DE8">
        <w:rPr>
          <w:szCs w:val="20"/>
          <w:lang w:val="en-US"/>
        </w:rPr>
        <w:t xml:space="preserve">estimation </w:t>
      </w:r>
      <w:r w:rsidR="005C6390" w:rsidRPr="006A3DE8">
        <w:rPr>
          <w:szCs w:val="20"/>
          <w:lang w:val="en-US"/>
        </w:rPr>
        <w:t xml:space="preserve">performance of </w:t>
      </w:r>
      <w:r w:rsidR="004C45C5" w:rsidRPr="006A3DE8">
        <w:rPr>
          <w:szCs w:val="20"/>
          <w:lang w:val="en-US"/>
        </w:rPr>
        <w:t>prediction</w:t>
      </w:r>
      <w:r w:rsidR="005C6390" w:rsidRPr="006A3DE8">
        <w:rPr>
          <w:szCs w:val="20"/>
          <w:lang w:val="en-US"/>
        </w:rPr>
        <w:t xml:space="preserve"> </w:t>
      </w:r>
      <w:r w:rsidR="00E05483">
        <w:rPr>
          <w:szCs w:val="20"/>
          <w:lang w:val="en-US"/>
        </w:rPr>
        <w:t>models</w:t>
      </w:r>
      <w:r w:rsidR="005C6390" w:rsidRPr="006A3DE8">
        <w:rPr>
          <w:szCs w:val="20"/>
          <w:lang w:val="en-US"/>
        </w:rPr>
        <w:t xml:space="preserve"> </w:t>
      </w:r>
      <w:r w:rsidR="00553779" w:rsidRPr="006A3DE8">
        <w:rPr>
          <w:szCs w:val="20"/>
          <w:lang w:val="en-US"/>
        </w:rPr>
        <w:t>and</w:t>
      </w:r>
      <w:r w:rsidR="005C6390" w:rsidRPr="006A3DE8">
        <w:rPr>
          <w:szCs w:val="20"/>
          <w:lang w:val="en-US"/>
        </w:rPr>
        <w:t xml:space="preserve"> </w:t>
      </w:r>
      <w:r w:rsidR="00DB58CE" w:rsidRPr="006A3DE8">
        <w:rPr>
          <w:szCs w:val="20"/>
          <w:lang w:val="en-US"/>
        </w:rPr>
        <w:t>software professionals.</w:t>
      </w:r>
    </w:p>
    <w:p w14:paraId="47D7E4A9" w14:textId="61D65925" w:rsidR="00F23D5C" w:rsidRPr="006A3DE8" w:rsidRDefault="00E61F2D" w:rsidP="008D5F9F">
      <w:pPr>
        <w:ind w:firstLine="0"/>
        <w:rPr>
          <w:szCs w:val="20"/>
          <w:lang w:val="en-US"/>
        </w:rPr>
      </w:pPr>
      <w:r>
        <w:rPr>
          <w:b/>
          <w:bCs/>
          <w:szCs w:val="20"/>
          <w:lang w:val="en-US"/>
        </w:rPr>
        <w:t>Objective</w:t>
      </w:r>
      <w:r w:rsidR="00F23D5C" w:rsidRPr="006A3DE8">
        <w:rPr>
          <w:szCs w:val="20"/>
          <w:lang w:val="en-US"/>
        </w:rPr>
        <w:t>:</w:t>
      </w:r>
      <w:r w:rsidR="00ED7BD7" w:rsidRPr="006A3DE8">
        <w:rPr>
          <w:szCs w:val="20"/>
          <w:lang w:val="en-US"/>
        </w:rPr>
        <w:t xml:space="preserve"> This paper</w:t>
      </w:r>
      <w:r w:rsidR="007316DF" w:rsidRPr="006A3DE8">
        <w:rPr>
          <w:szCs w:val="20"/>
          <w:lang w:val="en-US"/>
        </w:rPr>
        <w:t xml:space="preserve"> </w:t>
      </w:r>
      <w:r w:rsidR="008A6949" w:rsidRPr="006A3DE8">
        <w:rPr>
          <w:szCs w:val="20"/>
          <w:lang w:val="en-US"/>
        </w:rPr>
        <w:t>examines</w:t>
      </w:r>
      <w:r w:rsidR="001F6648" w:rsidRPr="006A3DE8">
        <w:rPr>
          <w:szCs w:val="20"/>
          <w:lang w:val="en-US"/>
        </w:rPr>
        <w:t xml:space="preserve"> </w:t>
      </w:r>
      <w:r w:rsidR="00780524">
        <w:rPr>
          <w:szCs w:val="20"/>
          <w:lang w:val="en-US"/>
        </w:rPr>
        <w:t>conditions for</w:t>
      </w:r>
      <w:r w:rsidR="00CB3C66" w:rsidRPr="006A3DE8">
        <w:rPr>
          <w:szCs w:val="20"/>
          <w:lang w:val="en-US"/>
        </w:rPr>
        <w:t xml:space="preserve"> </w:t>
      </w:r>
      <w:r w:rsidR="00C9621F">
        <w:rPr>
          <w:szCs w:val="20"/>
          <w:lang w:val="en-US"/>
        </w:rPr>
        <w:t>proper</w:t>
      </w:r>
      <w:r w:rsidR="00CB3C66" w:rsidRPr="006A3DE8">
        <w:rPr>
          <w:szCs w:val="20"/>
          <w:lang w:val="en-US"/>
        </w:rPr>
        <w:t xml:space="preserve"> use </w:t>
      </w:r>
      <w:r w:rsidR="00780524">
        <w:rPr>
          <w:szCs w:val="20"/>
          <w:lang w:val="en-US"/>
        </w:rPr>
        <w:t xml:space="preserve">of </w:t>
      </w:r>
      <w:r w:rsidR="008A6949" w:rsidRPr="006A3DE8">
        <w:rPr>
          <w:szCs w:val="20"/>
          <w:lang w:val="en-US"/>
        </w:rPr>
        <w:t>MMRE</w:t>
      </w:r>
      <w:r w:rsidR="0028293D" w:rsidRPr="006A3DE8">
        <w:rPr>
          <w:szCs w:val="20"/>
          <w:lang w:val="en-US"/>
        </w:rPr>
        <w:t xml:space="preserve"> </w:t>
      </w:r>
      <w:r w:rsidR="00863122" w:rsidRPr="006A3DE8">
        <w:rPr>
          <w:szCs w:val="20"/>
          <w:lang w:val="en-US"/>
        </w:rPr>
        <w:t>in effort estimation contexts.</w:t>
      </w:r>
    </w:p>
    <w:p w14:paraId="3D08614E" w14:textId="4AAA14F6" w:rsidR="007120E4" w:rsidRPr="006A3DE8" w:rsidRDefault="007120E4" w:rsidP="008D5F9F">
      <w:pPr>
        <w:ind w:firstLine="0"/>
        <w:rPr>
          <w:szCs w:val="20"/>
          <w:lang w:val="en-US"/>
        </w:rPr>
      </w:pPr>
      <w:r w:rsidRPr="006A3DE8">
        <w:rPr>
          <w:b/>
          <w:bCs/>
          <w:szCs w:val="20"/>
          <w:lang w:val="en-US"/>
        </w:rPr>
        <w:t>Method</w:t>
      </w:r>
      <w:r w:rsidRPr="006A3DE8">
        <w:rPr>
          <w:szCs w:val="20"/>
          <w:lang w:val="en-US"/>
        </w:rPr>
        <w:t xml:space="preserve">: </w:t>
      </w:r>
      <w:r w:rsidR="00F904A6" w:rsidRPr="006A3DE8">
        <w:rPr>
          <w:szCs w:val="20"/>
          <w:lang w:val="en-US"/>
        </w:rPr>
        <w:t>We</w:t>
      </w:r>
      <w:r w:rsidRPr="006A3DE8">
        <w:rPr>
          <w:szCs w:val="20"/>
          <w:lang w:val="en-US"/>
        </w:rPr>
        <w:t xml:space="preserve"> apply research </w:t>
      </w:r>
      <w:r w:rsidR="00A14A52">
        <w:rPr>
          <w:szCs w:val="20"/>
          <w:lang w:val="en-US"/>
        </w:rPr>
        <w:t xml:space="preserve">on </w:t>
      </w:r>
      <w:r w:rsidR="00F904A6" w:rsidRPr="006A3DE8">
        <w:rPr>
          <w:szCs w:val="20"/>
          <w:lang w:val="en-US"/>
        </w:rPr>
        <w:t xml:space="preserve">scoring functions to identify </w:t>
      </w:r>
      <w:r w:rsidR="00A14A52">
        <w:rPr>
          <w:szCs w:val="20"/>
          <w:lang w:val="en-US"/>
        </w:rPr>
        <w:t>the</w:t>
      </w:r>
      <w:r w:rsidR="00F904A6" w:rsidRPr="006A3DE8">
        <w:rPr>
          <w:szCs w:val="20"/>
          <w:lang w:val="en-US"/>
        </w:rPr>
        <w:t xml:space="preserve"> type of estimate</w:t>
      </w:r>
      <w:r w:rsidR="00CE6DE2" w:rsidRPr="006A3DE8">
        <w:rPr>
          <w:szCs w:val="20"/>
          <w:lang w:val="en-US"/>
        </w:rPr>
        <w:t>s</w:t>
      </w:r>
      <w:r w:rsidR="00F904A6" w:rsidRPr="006A3DE8">
        <w:rPr>
          <w:szCs w:val="20"/>
          <w:lang w:val="en-US"/>
        </w:rPr>
        <w:t xml:space="preserve"> </w:t>
      </w:r>
      <w:r w:rsidR="00A14A52">
        <w:rPr>
          <w:szCs w:val="20"/>
          <w:lang w:val="en-US"/>
        </w:rPr>
        <w:t>that minimizes</w:t>
      </w:r>
      <w:r w:rsidR="00F904A6" w:rsidRPr="006A3DE8">
        <w:rPr>
          <w:szCs w:val="20"/>
          <w:lang w:val="en-US"/>
        </w:rPr>
        <w:t xml:space="preserve"> </w:t>
      </w:r>
      <w:r w:rsidR="00A14A52">
        <w:rPr>
          <w:szCs w:val="20"/>
          <w:lang w:val="en-US"/>
        </w:rPr>
        <w:t xml:space="preserve">the </w:t>
      </w:r>
      <w:r w:rsidR="00F904A6" w:rsidRPr="006A3DE8">
        <w:rPr>
          <w:szCs w:val="20"/>
          <w:lang w:val="en-US"/>
        </w:rPr>
        <w:t xml:space="preserve">expected value of </w:t>
      </w:r>
      <w:r w:rsidR="007339DB">
        <w:rPr>
          <w:szCs w:val="20"/>
          <w:lang w:val="en-US"/>
        </w:rPr>
        <w:t xml:space="preserve">the </w:t>
      </w:r>
      <w:r w:rsidR="00F904A6" w:rsidRPr="006A3DE8">
        <w:rPr>
          <w:szCs w:val="20"/>
          <w:lang w:val="en-US"/>
        </w:rPr>
        <w:t>MMRE.</w:t>
      </w:r>
      <w:r w:rsidR="00F95E2B" w:rsidRPr="006A3DE8">
        <w:rPr>
          <w:szCs w:val="20"/>
          <w:lang w:val="en-US"/>
        </w:rPr>
        <w:t xml:space="preserve"> </w:t>
      </w:r>
    </w:p>
    <w:p w14:paraId="41F111B8" w14:textId="3A959BF5" w:rsidR="003F23CE" w:rsidRDefault="00A05028" w:rsidP="008D5F9F">
      <w:pPr>
        <w:ind w:firstLine="0"/>
        <w:rPr>
          <w:szCs w:val="20"/>
          <w:lang w:val="en-US"/>
        </w:rPr>
      </w:pPr>
      <w:r w:rsidRPr="006A3DE8">
        <w:rPr>
          <w:b/>
          <w:bCs/>
          <w:szCs w:val="20"/>
          <w:lang w:val="en-US"/>
        </w:rPr>
        <w:t>Results</w:t>
      </w:r>
      <w:r w:rsidRPr="006A3DE8">
        <w:rPr>
          <w:szCs w:val="20"/>
          <w:lang w:val="en-US"/>
        </w:rPr>
        <w:t xml:space="preserve">: </w:t>
      </w:r>
      <w:r w:rsidR="005F5615">
        <w:rPr>
          <w:szCs w:val="20"/>
          <w:lang w:val="en-US"/>
        </w:rPr>
        <w:t>We show that t</w:t>
      </w:r>
      <w:r w:rsidR="0001552D">
        <w:rPr>
          <w:szCs w:val="20"/>
          <w:lang w:val="en-US"/>
        </w:rPr>
        <w:t>he</w:t>
      </w:r>
      <w:r w:rsidR="000F6350" w:rsidRPr="006A3DE8">
        <w:rPr>
          <w:szCs w:val="20"/>
          <w:lang w:val="en-US"/>
        </w:rPr>
        <w:t xml:space="preserve"> MMRE </w:t>
      </w:r>
      <w:r w:rsidR="00FD54C9" w:rsidRPr="006A3DE8">
        <w:rPr>
          <w:szCs w:val="20"/>
          <w:lang w:val="en-US"/>
        </w:rPr>
        <w:t>is</w:t>
      </w:r>
      <w:r w:rsidR="000F6350" w:rsidRPr="006A3DE8">
        <w:rPr>
          <w:szCs w:val="20"/>
          <w:lang w:val="en-US"/>
        </w:rPr>
        <w:t xml:space="preserve"> a proper </w:t>
      </w:r>
      <w:r w:rsidR="00147A3C" w:rsidRPr="006A3DE8">
        <w:rPr>
          <w:szCs w:val="20"/>
          <w:lang w:val="en-US"/>
        </w:rPr>
        <w:t>error</w:t>
      </w:r>
      <w:r w:rsidR="000F6350" w:rsidRPr="006A3DE8">
        <w:rPr>
          <w:szCs w:val="20"/>
          <w:lang w:val="en-US"/>
        </w:rPr>
        <w:t xml:space="preserve"> measure </w:t>
      </w:r>
      <w:r w:rsidR="0001552D">
        <w:rPr>
          <w:szCs w:val="20"/>
          <w:lang w:val="en-US"/>
        </w:rPr>
        <w:t>for</w:t>
      </w:r>
      <w:r w:rsidR="000F6350" w:rsidRPr="006A3DE8">
        <w:rPr>
          <w:szCs w:val="20"/>
          <w:lang w:val="en-US"/>
        </w:rPr>
        <w:t xml:space="preserve"> estimates of the most likely (mode) effort</w:t>
      </w:r>
      <w:r w:rsidR="002B7AE5" w:rsidRPr="006A3DE8">
        <w:rPr>
          <w:szCs w:val="20"/>
          <w:lang w:val="en-US"/>
        </w:rPr>
        <w:t xml:space="preserve">, </w:t>
      </w:r>
      <w:r w:rsidR="005E645B">
        <w:rPr>
          <w:szCs w:val="20"/>
          <w:lang w:val="en-US"/>
        </w:rPr>
        <w:t xml:space="preserve">but not </w:t>
      </w:r>
      <w:r w:rsidR="007527F4">
        <w:rPr>
          <w:szCs w:val="20"/>
          <w:lang w:val="en-US"/>
        </w:rPr>
        <w:t xml:space="preserve">for estimates of </w:t>
      </w:r>
      <w:r w:rsidR="005E645B">
        <w:rPr>
          <w:szCs w:val="20"/>
          <w:lang w:val="en-US"/>
        </w:rPr>
        <w:t xml:space="preserve">the median or mean effort, </w:t>
      </w:r>
      <w:r w:rsidR="002B7AE5" w:rsidRPr="006A3DE8">
        <w:rPr>
          <w:szCs w:val="20"/>
          <w:lang w:val="en-US"/>
        </w:rPr>
        <w:t>provided that the</w:t>
      </w:r>
      <w:r w:rsidR="00304A18" w:rsidRPr="006A3DE8">
        <w:rPr>
          <w:szCs w:val="20"/>
          <w:lang w:val="en-US"/>
        </w:rPr>
        <w:t xml:space="preserve"> </w:t>
      </w:r>
      <w:r w:rsidR="000F6350" w:rsidRPr="006A3DE8">
        <w:rPr>
          <w:szCs w:val="20"/>
          <w:lang w:val="en-US"/>
        </w:rPr>
        <w:t xml:space="preserve">effort </w:t>
      </w:r>
      <w:r w:rsidR="00304A18" w:rsidRPr="006A3DE8">
        <w:rPr>
          <w:szCs w:val="20"/>
          <w:lang w:val="en-US"/>
        </w:rPr>
        <w:t xml:space="preserve">usage </w:t>
      </w:r>
      <w:r w:rsidR="000F6350" w:rsidRPr="006A3DE8">
        <w:rPr>
          <w:szCs w:val="20"/>
          <w:lang w:val="en-US"/>
        </w:rPr>
        <w:t xml:space="preserve">is </w:t>
      </w:r>
      <w:r w:rsidR="00E54058">
        <w:rPr>
          <w:szCs w:val="20"/>
          <w:lang w:val="en-US"/>
        </w:rPr>
        <w:t xml:space="preserve">approximately </w:t>
      </w:r>
      <w:r w:rsidR="000F6350" w:rsidRPr="006A3DE8">
        <w:rPr>
          <w:szCs w:val="20"/>
          <w:lang w:val="en-US"/>
        </w:rPr>
        <w:t>log-normally distributed</w:t>
      </w:r>
      <w:r w:rsidR="0001552D">
        <w:rPr>
          <w:szCs w:val="20"/>
          <w:lang w:val="en-US"/>
        </w:rPr>
        <w:t>, which we</w:t>
      </w:r>
      <w:r w:rsidR="000F6350" w:rsidRPr="006A3DE8">
        <w:rPr>
          <w:szCs w:val="20"/>
          <w:lang w:val="en-US"/>
        </w:rPr>
        <w:t xml:space="preserve"> argue is a reasonable assumption in many software development contexts. </w:t>
      </w:r>
      <w:r w:rsidR="005F20E2">
        <w:rPr>
          <w:szCs w:val="20"/>
          <w:lang w:val="en-US"/>
        </w:rPr>
        <w:t xml:space="preserve">The relevance of the findings </w:t>
      </w:r>
      <w:r w:rsidR="007D4048" w:rsidRPr="006A3DE8">
        <w:rPr>
          <w:szCs w:val="20"/>
          <w:lang w:val="en-US"/>
        </w:rPr>
        <w:t>is demonstrated on real-world software development data</w:t>
      </w:r>
      <w:r w:rsidR="00BF5347">
        <w:rPr>
          <w:szCs w:val="20"/>
          <w:lang w:val="en-US"/>
        </w:rPr>
        <w:t>.</w:t>
      </w:r>
    </w:p>
    <w:p w14:paraId="5C14C09D" w14:textId="51E48B58" w:rsidR="00530FC8" w:rsidRDefault="00E61F2D" w:rsidP="008D5F9F">
      <w:pPr>
        <w:ind w:firstLine="0"/>
        <w:rPr>
          <w:szCs w:val="20"/>
          <w:lang w:val="en-US"/>
        </w:rPr>
      </w:pPr>
      <w:r w:rsidRPr="00E61F2D">
        <w:rPr>
          <w:b/>
          <w:bCs/>
          <w:szCs w:val="20"/>
          <w:lang w:val="en-US"/>
        </w:rPr>
        <w:t>Conclusion</w:t>
      </w:r>
      <w:r>
        <w:rPr>
          <w:szCs w:val="20"/>
          <w:lang w:val="en-US"/>
        </w:rPr>
        <w:t>:</w:t>
      </w:r>
      <w:r w:rsidR="000A3E61">
        <w:rPr>
          <w:szCs w:val="20"/>
          <w:lang w:val="en-US"/>
        </w:rPr>
        <w:t xml:space="preserve"> MMRE </w:t>
      </w:r>
      <w:r w:rsidR="00444C0D">
        <w:rPr>
          <w:szCs w:val="20"/>
          <w:lang w:val="en-US"/>
        </w:rPr>
        <w:t>is not a proper measure of the</w:t>
      </w:r>
      <w:r w:rsidR="000A3E61">
        <w:rPr>
          <w:szCs w:val="20"/>
          <w:lang w:val="en-US"/>
        </w:rPr>
        <w:t xml:space="preserve"> accuracy of estimates of the median or mean effort,</w:t>
      </w:r>
      <w:r w:rsidR="00D12197">
        <w:rPr>
          <w:szCs w:val="20"/>
          <w:lang w:val="en-US"/>
        </w:rPr>
        <w:t xml:space="preserve"> but may be used for </w:t>
      </w:r>
      <w:r w:rsidR="00022201">
        <w:rPr>
          <w:szCs w:val="20"/>
          <w:lang w:val="en-US"/>
        </w:rPr>
        <w:t xml:space="preserve">the accuracy evaluation of </w:t>
      </w:r>
      <w:r w:rsidR="000A3E61">
        <w:rPr>
          <w:szCs w:val="20"/>
          <w:lang w:val="en-US"/>
        </w:rPr>
        <w:t>estimates of most likely effort.</w:t>
      </w:r>
    </w:p>
    <w:p w14:paraId="5D45F9A3" w14:textId="58819B0D" w:rsidR="00F23D5C" w:rsidRPr="00D24372" w:rsidRDefault="00193F9E" w:rsidP="00CE3E3A">
      <w:pPr>
        <w:pStyle w:val="Heading1"/>
        <w:numPr>
          <w:ilvl w:val="0"/>
          <w:numId w:val="15"/>
        </w:numPr>
        <w:rPr>
          <w:sz w:val="24"/>
          <w:szCs w:val="24"/>
          <w:lang w:val="en-US"/>
        </w:rPr>
      </w:pPr>
      <w:r w:rsidRPr="00D24372">
        <w:rPr>
          <w:sz w:val="24"/>
          <w:szCs w:val="24"/>
          <w:lang w:val="en-US"/>
        </w:rPr>
        <w:t>Introduction</w:t>
      </w:r>
    </w:p>
    <w:p w14:paraId="0816195E" w14:textId="059578A7" w:rsidR="00D84808" w:rsidRPr="006A3DE8" w:rsidRDefault="00154126" w:rsidP="00181652">
      <w:pPr>
        <w:rPr>
          <w:szCs w:val="20"/>
          <w:lang w:val="en-US"/>
        </w:rPr>
      </w:pPr>
      <w:r>
        <w:rPr>
          <w:szCs w:val="20"/>
          <w:lang w:val="en-US"/>
        </w:rPr>
        <w:t xml:space="preserve">When </w:t>
      </w:r>
      <w:r w:rsidR="007E6E93" w:rsidRPr="006A3DE8">
        <w:rPr>
          <w:szCs w:val="20"/>
          <w:lang w:val="en-US"/>
        </w:rPr>
        <w:t>comparing</w:t>
      </w:r>
      <w:r w:rsidR="00965A77" w:rsidRPr="006A3DE8">
        <w:rPr>
          <w:szCs w:val="20"/>
          <w:lang w:val="en-US"/>
        </w:rPr>
        <w:t xml:space="preserve"> the </w:t>
      </w:r>
      <w:r w:rsidR="00DD5E09" w:rsidRPr="006A3DE8">
        <w:rPr>
          <w:szCs w:val="20"/>
          <w:lang w:val="en-US"/>
        </w:rPr>
        <w:t>error</w:t>
      </w:r>
      <w:r w:rsidR="00965A77" w:rsidRPr="006A3DE8">
        <w:rPr>
          <w:szCs w:val="20"/>
          <w:lang w:val="en-US"/>
        </w:rPr>
        <w:t xml:space="preserve"> of</w:t>
      </w:r>
      <w:r w:rsidR="00E122CC" w:rsidRPr="006A3DE8">
        <w:rPr>
          <w:szCs w:val="20"/>
          <w:lang w:val="en-US"/>
        </w:rPr>
        <w:t xml:space="preserve"> effort estimation models </w:t>
      </w:r>
      <w:r>
        <w:rPr>
          <w:szCs w:val="20"/>
          <w:lang w:val="en-US"/>
        </w:rPr>
        <w:t>and when</w:t>
      </w:r>
      <w:r w:rsidR="00965A77" w:rsidRPr="006A3DE8">
        <w:rPr>
          <w:szCs w:val="20"/>
          <w:lang w:val="en-US"/>
        </w:rPr>
        <w:t xml:space="preserve"> </w:t>
      </w:r>
      <w:r w:rsidR="007E6E93" w:rsidRPr="006A3DE8">
        <w:rPr>
          <w:szCs w:val="20"/>
          <w:lang w:val="en-US"/>
        </w:rPr>
        <w:t xml:space="preserve">evaluating </w:t>
      </w:r>
      <w:r w:rsidR="004230B3" w:rsidRPr="006A3DE8">
        <w:rPr>
          <w:szCs w:val="20"/>
          <w:lang w:val="en-US"/>
        </w:rPr>
        <w:t xml:space="preserve">the estimates of </w:t>
      </w:r>
      <w:r w:rsidR="00965A77" w:rsidRPr="006A3DE8">
        <w:rPr>
          <w:szCs w:val="20"/>
          <w:lang w:val="en-US"/>
        </w:rPr>
        <w:t>software professionals</w:t>
      </w:r>
      <w:r w:rsidR="008E6565">
        <w:rPr>
          <w:szCs w:val="20"/>
          <w:lang w:val="en-US"/>
        </w:rPr>
        <w:t>, it is common</w:t>
      </w:r>
      <w:r w:rsidR="00965A77" w:rsidRPr="006A3DE8">
        <w:rPr>
          <w:szCs w:val="20"/>
          <w:lang w:val="en-US"/>
        </w:rPr>
        <w:t xml:space="preserve"> </w:t>
      </w:r>
      <w:r w:rsidR="00E122CC" w:rsidRPr="006A3DE8">
        <w:rPr>
          <w:szCs w:val="20"/>
          <w:lang w:val="en-US"/>
        </w:rPr>
        <w:t xml:space="preserve">to </w:t>
      </w:r>
      <w:r w:rsidR="008E6565">
        <w:rPr>
          <w:szCs w:val="20"/>
          <w:lang w:val="en-US"/>
        </w:rPr>
        <w:t xml:space="preserve">use the measure </w:t>
      </w:r>
      <w:r w:rsidR="00E122CC" w:rsidRPr="006A3DE8">
        <w:rPr>
          <w:szCs w:val="20"/>
          <w:lang w:val="en-US"/>
        </w:rPr>
        <w:t>MMRE (Mean Magnitude of Relative Error</w:t>
      </w:r>
      <w:r w:rsidR="0018656C">
        <w:rPr>
          <w:szCs w:val="20"/>
          <w:lang w:val="en-US"/>
        </w:rPr>
        <w:t>)</w:t>
      </w:r>
      <w:r w:rsidR="00D84808" w:rsidRPr="006A3DE8">
        <w:rPr>
          <w:szCs w:val="20"/>
          <w:lang w:val="en-US"/>
        </w:rPr>
        <w:t>:</w:t>
      </w:r>
    </w:p>
    <w:p w14:paraId="4E6EC8CA" w14:textId="77777777" w:rsidR="008003D6" w:rsidRPr="006A3DE8" w:rsidRDefault="008003D6" w:rsidP="00181652">
      <w:pPr>
        <w:rPr>
          <w:szCs w:val="20"/>
          <w:lang w:val="en-US"/>
        </w:rPr>
      </w:pPr>
    </w:p>
    <w:p w14:paraId="4261BBC1" w14:textId="4BCF99B7" w:rsidR="00FA72D9" w:rsidRPr="006A3DE8" w:rsidRDefault="0027553B" w:rsidP="00571C04">
      <w:pPr>
        <w:ind w:firstLine="0"/>
        <w:rPr>
          <w:szCs w:val="20"/>
          <w:lang w:val="en-GB"/>
        </w:rPr>
      </w:pPr>
      <m:oMath>
        <m:r>
          <w:rPr>
            <w:rFonts w:ascii="Cambria Math" w:eastAsiaTheme="minorEastAsia" w:hAnsi="Cambria Math"/>
            <w:szCs w:val="20"/>
            <w:lang w:val="en-GB"/>
          </w:rPr>
          <m:t>MMRE=</m:t>
        </m:r>
        <m:f>
          <m:fPr>
            <m:ctrlPr>
              <w:rPr>
                <w:rFonts w:ascii="Cambria Math" w:eastAsiaTheme="minorEastAsia" w:hAnsi="Cambria Math"/>
                <w:i/>
                <w:szCs w:val="20"/>
                <w:lang w:val="en-GB"/>
              </w:rPr>
            </m:ctrlPr>
          </m:fPr>
          <m:num>
            <m:r>
              <w:rPr>
                <w:rFonts w:ascii="Cambria Math" w:eastAsiaTheme="minorEastAsia" w:hAnsi="Cambria Math"/>
                <w:szCs w:val="20"/>
                <w:lang w:val="en-GB"/>
              </w:rPr>
              <m:t>1</m:t>
            </m:r>
          </m:num>
          <m:den>
            <m:r>
              <w:rPr>
                <w:rFonts w:ascii="Cambria Math" w:eastAsiaTheme="minorEastAsia" w:hAnsi="Cambria Math"/>
                <w:szCs w:val="20"/>
                <w:lang w:val="en-GB"/>
              </w:rPr>
              <m:t>N</m:t>
            </m:r>
          </m:den>
        </m:f>
        <m:nary>
          <m:naryPr>
            <m:chr m:val="∑"/>
            <m:limLoc m:val="subSup"/>
            <m:ctrlPr>
              <w:rPr>
                <w:rFonts w:ascii="Cambria Math" w:hAnsi="Cambria Math"/>
                <w:i/>
                <w:szCs w:val="20"/>
                <w:lang w:val="en-GB"/>
              </w:rPr>
            </m:ctrlPr>
          </m:naryPr>
          <m:sub>
            <m:r>
              <w:rPr>
                <w:rFonts w:ascii="Cambria Math" w:hAnsi="Cambria Math"/>
                <w:szCs w:val="20"/>
                <w:lang w:val="en-GB"/>
              </w:rPr>
              <m:t>i=1</m:t>
            </m:r>
          </m:sub>
          <m:sup>
            <m:r>
              <w:rPr>
                <w:rFonts w:ascii="Cambria Math" w:hAnsi="Cambria Math"/>
                <w:szCs w:val="20"/>
                <w:lang w:val="en-GB"/>
              </w:rPr>
              <m:t>N</m:t>
            </m:r>
          </m:sup>
          <m:e>
            <m:f>
              <m:fPr>
                <m:ctrlPr>
                  <w:rPr>
                    <w:rFonts w:ascii="Cambria Math" w:hAnsi="Cambria Math"/>
                    <w:i/>
                    <w:szCs w:val="20"/>
                    <w:lang w:val="en-GB"/>
                  </w:rPr>
                </m:ctrlPr>
              </m:fPr>
              <m:num>
                <m:d>
                  <m:dPr>
                    <m:begChr m:val="|"/>
                    <m:endChr m:val="|"/>
                    <m:ctrlPr>
                      <w:rPr>
                        <w:rFonts w:ascii="Cambria Math" w:hAnsi="Cambria Math"/>
                        <w:i/>
                        <w:szCs w:val="20"/>
                        <w:lang w:val="en-GB"/>
                      </w:rPr>
                    </m:ctrlPr>
                  </m:dPr>
                  <m:e>
                    <m:sSub>
                      <m:sSubPr>
                        <m:ctrlPr>
                          <w:rPr>
                            <w:rFonts w:ascii="Cambria Math" w:hAnsi="Cambria Math"/>
                            <w:i/>
                            <w:szCs w:val="20"/>
                            <w:lang w:val="en-GB"/>
                          </w:rPr>
                        </m:ctrlPr>
                      </m:sSubPr>
                      <m:e>
                        <m:r>
                          <w:rPr>
                            <w:rFonts w:ascii="Cambria Math" w:hAnsi="Cambria Math"/>
                            <w:szCs w:val="20"/>
                            <w:lang w:val="en-GB"/>
                          </w:rPr>
                          <m:t>act</m:t>
                        </m:r>
                      </m:e>
                      <m:sub>
                        <m:r>
                          <w:rPr>
                            <w:rFonts w:ascii="Cambria Math" w:hAnsi="Cambria Math"/>
                            <w:szCs w:val="20"/>
                            <w:lang w:val="en-GB"/>
                          </w:rPr>
                          <m:t>i</m:t>
                        </m:r>
                      </m:sub>
                    </m:sSub>
                    <m:r>
                      <w:rPr>
                        <w:rFonts w:ascii="Cambria Math" w:hAnsi="Cambria Math"/>
                        <w:szCs w:val="20"/>
                        <w:lang w:val="en-GB"/>
                      </w:rPr>
                      <m:t>-</m:t>
                    </m:r>
                    <m:sSub>
                      <m:sSubPr>
                        <m:ctrlPr>
                          <w:rPr>
                            <w:rFonts w:ascii="Cambria Math" w:hAnsi="Cambria Math"/>
                            <w:i/>
                            <w:szCs w:val="20"/>
                            <w:lang w:val="en-GB"/>
                          </w:rPr>
                        </m:ctrlPr>
                      </m:sSubPr>
                      <m:e>
                        <m:r>
                          <w:rPr>
                            <w:rFonts w:ascii="Cambria Math" w:hAnsi="Cambria Math"/>
                            <w:szCs w:val="20"/>
                            <w:lang w:val="en-GB"/>
                          </w:rPr>
                          <m:t>est</m:t>
                        </m:r>
                      </m:e>
                      <m:sub>
                        <m:r>
                          <w:rPr>
                            <w:rFonts w:ascii="Cambria Math" w:hAnsi="Cambria Math"/>
                            <w:szCs w:val="20"/>
                            <w:lang w:val="en-GB"/>
                          </w:rPr>
                          <m:t>i</m:t>
                        </m:r>
                      </m:sub>
                    </m:sSub>
                  </m:e>
                </m:d>
              </m:num>
              <m:den>
                <m:sSub>
                  <m:sSubPr>
                    <m:ctrlPr>
                      <w:rPr>
                        <w:rFonts w:ascii="Cambria Math" w:hAnsi="Cambria Math"/>
                        <w:i/>
                        <w:szCs w:val="20"/>
                        <w:lang w:val="en-GB"/>
                      </w:rPr>
                    </m:ctrlPr>
                  </m:sSubPr>
                  <m:e>
                    <m:r>
                      <w:rPr>
                        <w:rFonts w:ascii="Cambria Math" w:hAnsi="Cambria Math"/>
                        <w:szCs w:val="20"/>
                        <w:lang w:val="en-GB"/>
                      </w:rPr>
                      <m:t>act</m:t>
                    </m:r>
                  </m:e>
                  <m:sub>
                    <m:r>
                      <w:rPr>
                        <w:rFonts w:ascii="Cambria Math" w:hAnsi="Cambria Math"/>
                        <w:szCs w:val="20"/>
                        <w:lang w:val="en-GB"/>
                      </w:rPr>
                      <m:t>i</m:t>
                    </m:r>
                  </m:sub>
                </m:sSub>
              </m:den>
            </m:f>
          </m:e>
        </m:nary>
      </m:oMath>
      <w:r w:rsidR="00711A5A" w:rsidRPr="006A3DE8">
        <w:rPr>
          <w:szCs w:val="20"/>
          <w:lang w:val="en-GB"/>
        </w:rPr>
        <w:t xml:space="preserve">, where </w:t>
      </w:r>
      <w:proofErr w:type="spellStart"/>
      <w:r w:rsidR="00711A5A" w:rsidRPr="006A3DE8">
        <w:rPr>
          <w:i/>
          <w:iCs/>
          <w:szCs w:val="20"/>
          <w:lang w:val="en-GB"/>
        </w:rPr>
        <w:t>act</w:t>
      </w:r>
      <w:r w:rsidR="00711A5A" w:rsidRPr="006A3DE8">
        <w:rPr>
          <w:i/>
          <w:iCs/>
          <w:szCs w:val="20"/>
          <w:vertAlign w:val="subscript"/>
          <w:lang w:val="en-GB"/>
        </w:rPr>
        <w:t>i</w:t>
      </w:r>
      <w:proofErr w:type="spellEnd"/>
      <w:r w:rsidR="00711A5A" w:rsidRPr="006A3DE8">
        <w:rPr>
          <w:szCs w:val="20"/>
          <w:lang w:val="en-GB"/>
        </w:rPr>
        <w:t xml:space="preserve"> and </w:t>
      </w:r>
      <w:proofErr w:type="spellStart"/>
      <w:r w:rsidR="00711A5A" w:rsidRPr="006A3DE8">
        <w:rPr>
          <w:i/>
          <w:iCs/>
          <w:szCs w:val="20"/>
          <w:lang w:val="en-GB"/>
        </w:rPr>
        <w:t>est</w:t>
      </w:r>
      <w:r w:rsidR="00711A5A" w:rsidRPr="006A3DE8">
        <w:rPr>
          <w:i/>
          <w:iCs/>
          <w:szCs w:val="20"/>
          <w:vertAlign w:val="subscript"/>
          <w:lang w:val="en-GB"/>
        </w:rPr>
        <w:t>i</w:t>
      </w:r>
      <w:proofErr w:type="spellEnd"/>
      <w:r w:rsidR="00711A5A" w:rsidRPr="006A3DE8">
        <w:rPr>
          <w:szCs w:val="20"/>
          <w:lang w:val="en-GB"/>
        </w:rPr>
        <w:t xml:space="preserve"> are the actual and the estimated effort for </w:t>
      </w:r>
      <w:r w:rsidR="00157F01" w:rsidRPr="006A3DE8">
        <w:rPr>
          <w:szCs w:val="20"/>
          <w:lang w:val="en-GB"/>
        </w:rPr>
        <w:t>task</w:t>
      </w:r>
      <w:r w:rsidR="00711A5A" w:rsidRPr="006A3DE8">
        <w:rPr>
          <w:szCs w:val="20"/>
          <w:lang w:val="en-GB"/>
        </w:rPr>
        <w:t xml:space="preserve"> </w:t>
      </w:r>
      <w:proofErr w:type="spellStart"/>
      <w:r w:rsidR="00711A5A" w:rsidRPr="00571C04">
        <w:rPr>
          <w:i/>
          <w:iCs/>
          <w:szCs w:val="20"/>
          <w:lang w:val="en-GB"/>
        </w:rPr>
        <w:t>i</w:t>
      </w:r>
      <w:proofErr w:type="spellEnd"/>
      <w:r w:rsidR="00711A5A" w:rsidRPr="006A3DE8">
        <w:rPr>
          <w:szCs w:val="20"/>
          <w:lang w:val="en-GB"/>
        </w:rPr>
        <w:t>.</w:t>
      </w:r>
    </w:p>
    <w:p w14:paraId="78F0D0DF" w14:textId="77777777" w:rsidR="008003D6" w:rsidRPr="006A3DE8" w:rsidRDefault="008003D6" w:rsidP="00571C04">
      <w:pPr>
        <w:ind w:firstLine="0"/>
        <w:rPr>
          <w:szCs w:val="20"/>
          <w:lang w:val="en-US"/>
        </w:rPr>
      </w:pPr>
    </w:p>
    <w:p w14:paraId="246A9012" w14:textId="41CA1DFC" w:rsidR="00C02455" w:rsidRPr="006A3DE8" w:rsidRDefault="00B72AD8" w:rsidP="00C704C3">
      <w:pPr>
        <w:rPr>
          <w:szCs w:val="20"/>
          <w:lang w:val="en-US"/>
        </w:rPr>
      </w:pPr>
      <w:r w:rsidRPr="006A3DE8">
        <w:rPr>
          <w:szCs w:val="20"/>
          <w:lang w:val="en-US"/>
        </w:rPr>
        <w:t xml:space="preserve">The popularity of the use of MMRE </w:t>
      </w:r>
      <w:r w:rsidR="00BA1D0F" w:rsidRPr="006A3DE8">
        <w:rPr>
          <w:szCs w:val="20"/>
          <w:lang w:val="en-US"/>
        </w:rPr>
        <w:t xml:space="preserve">in software effort estimation contexts </w:t>
      </w:r>
      <w:r w:rsidRPr="006A3DE8">
        <w:rPr>
          <w:szCs w:val="20"/>
          <w:lang w:val="en-US"/>
        </w:rPr>
        <w:t xml:space="preserve">may be due to </w:t>
      </w:r>
      <w:r w:rsidR="00615A99" w:rsidRPr="006A3DE8">
        <w:rPr>
          <w:szCs w:val="20"/>
          <w:lang w:val="en-US"/>
        </w:rPr>
        <w:t>it</w:t>
      </w:r>
      <w:r w:rsidR="00B6569D">
        <w:rPr>
          <w:szCs w:val="20"/>
          <w:lang w:val="en-US"/>
        </w:rPr>
        <w:t>s</w:t>
      </w:r>
      <w:r w:rsidR="00615A99" w:rsidRPr="006A3DE8">
        <w:rPr>
          <w:szCs w:val="20"/>
          <w:lang w:val="en-US"/>
        </w:rPr>
        <w:t xml:space="preserve"> interpret</w:t>
      </w:r>
      <w:r w:rsidR="00B6569D">
        <w:rPr>
          <w:szCs w:val="20"/>
          <w:lang w:val="en-US"/>
        </w:rPr>
        <w:t>ation</w:t>
      </w:r>
      <w:r w:rsidR="00615A99" w:rsidRPr="006A3DE8">
        <w:rPr>
          <w:szCs w:val="20"/>
          <w:lang w:val="en-US"/>
        </w:rPr>
        <w:t xml:space="preserve"> as the </w:t>
      </w:r>
      <w:r w:rsidRPr="006A3DE8">
        <w:rPr>
          <w:szCs w:val="20"/>
          <w:lang w:val="en-US"/>
        </w:rPr>
        <w:t xml:space="preserve">mean </w:t>
      </w:r>
      <w:r w:rsidR="00BA1D0F" w:rsidRPr="006A3DE8">
        <w:rPr>
          <w:szCs w:val="20"/>
          <w:lang w:val="en-US"/>
        </w:rPr>
        <w:t xml:space="preserve">absolute </w:t>
      </w:r>
      <w:r w:rsidRPr="006A3DE8">
        <w:rPr>
          <w:szCs w:val="20"/>
          <w:lang w:val="en-US"/>
        </w:rPr>
        <w:t>percentage</w:t>
      </w:r>
      <w:r w:rsidR="00BA1D0F" w:rsidRPr="006A3DE8">
        <w:rPr>
          <w:szCs w:val="20"/>
          <w:lang w:val="en-US"/>
        </w:rPr>
        <w:t xml:space="preserve"> error</w:t>
      </w:r>
      <w:r w:rsidR="00674C79" w:rsidRPr="006A3DE8">
        <w:rPr>
          <w:szCs w:val="20"/>
          <w:lang w:val="en-US"/>
        </w:rPr>
        <w:t xml:space="preserve">. </w:t>
      </w:r>
      <w:r w:rsidR="004F7535" w:rsidRPr="006A3DE8">
        <w:rPr>
          <w:szCs w:val="20"/>
          <w:lang w:val="en-US"/>
        </w:rPr>
        <w:t>MMRE</w:t>
      </w:r>
      <w:r w:rsidR="0018296C" w:rsidRPr="006A3DE8">
        <w:rPr>
          <w:szCs w:val="20"/>
          <w:lang w:val="en-US"/>
        </w:rPr>
        <w:t xml:space="preserve"> is </w:t>
      </w:r>
      <w:r w:rsidR="00615A99" w:rsidRPr="006A3DE8">
        <w:rPr>
          <w:szCs w:val="20"/>
          <w:lang w:val="en-US"/>
        </w:rPr>
        <w:t>scale-free</w:t>
      </w:r>
      <w:r w:rsidR="0018296C" w:rsidRPr="006A3DE8">
        <w:rPr>
          <w:szCs w:val="20"/>
          <w:lang w:val="en-US"/>
        </w:rPr>
        <w:t xml:space="preserve">, which means that it </w:t>
      </w:r>
      <w:r w:rsidR="00084543">
        <w:rPr>
          <w:szCs w:val="20"/>
          <w:lang w:val="en-US"/>
        </w:rPr>
        <w:t>can be used</w:t>
      </w:r>
      <w:r w:rsidR="0018296C" w:rsidRPr="006A3DE8">
        <w:rPr>
          <w:szCs w:val="20"/>
          <w:lang w:val="en-US"/>
        </w:rPr>
        <w:t xml:space="preserve"> for the aggregation of estimation </w:t>
      </w:r>
      <w:r w:rsidR="00531661" w:rsidRPr="006A3DE8">
        <w:rPr>
          <w:szCs w:val="20"/>
          <w:lang w:val="en-US"/>
        </w:rPr>
        <w:t>error</w:t>
      </w:r>
      <w:r w:rsidR="007E1FD8">
        <w:rPr>
          <w:szCs w:val="20"/>
          <w:lang w:val="en-US"/>
        </w:rPr>
        <w:t>s</w:t>
      </w:r>
      <w:r w:rsidR="0018296C" w:rsidRPr="006A3DE8">
        <w:rPr>
          <w:szCs w:val="20"/>
          <w:lang w:val="en-US"/>
        </w:rPr>
        <w:t xml:space="preserve"> from software development projects of very different sizes. </w:t>
      </w:r>
      <w:r w:rsidR="00C704C3">
        <w:rPr>
          <w:szCs w:val="20"/>
          <w:lang w:val="en-US"/>
        </w:rPr>
        <w:t>While MMRE has no upper score limits for over-estimation, under-estimation of effort will never give MMRE scores higher than one. In spite of this scoring asymmetry limitation, MMRE (MAPE) may be the most widely used estimation error measure in research and industry</w:t>
      </w:r>
      <w:r w:rsidR="00E03E85" w:rsidRPr="006A3DE8">
        <w:rPr>
          <w:szCs w:val="20"/>
          <w:lang w:val="en-US"/>
        </w:rPr>
        <w:t xml:space="preserve"> </w:t>
      </w:r>
      <w:r w:rsidR="00C02455" w:rsidRPr="006A3DE8">
        <w:rPr>
          <w:szCs w:val="20"/>
          <w:lang w:val="en-GB"/>
        </w:rPr>
        <w:fldChar w:fldCharType="begin"/>
      </w:r>
      <w:r w:rsidR="00003B21" w:rsidRPr="006A3DE8">
        <w:rPr>
          <w:szCs w:val="20"/>
          <w:lang w:val="en-GB"/>
        </w:rPr>
        <w:instrText xml:space="preserve"> ADDIN EN.CITE &lt;EndNote&gt;&lt;Cite&gt;&lt;Author&gt;Idri&lt;/Author&gt;&lt;Year&gt;2016&lt;/Year&gt;&lt;RecNum&gt;48&lt;/RecNum&gt;&lt;DisplayText&gt;[1, 2]&lt;/DisplayText&gt;&lt;record&gt;&lt;rec-number&gt;48&lt;/rec-number&gt;&lt;foreign-keys&gt;&lt;key app="EN" db-id="rwddpazvrv5vx1e095w520dt02p2fv20sdaz" timestamp="1592393810"&gt;48&lt;/key&gt;&lt;/foreign-keys&gt;&lt;ref-type name="Journal Article"&gt;17&lt;/ref-type&gt;&lt;contributors&gt;&lt;authors&gt;&lt;author&gt;Idri, Ali&lt;/author&gt;&lt;author&gt;Hosni, Mohamed&lt;/author&gt;&lt;author&gt;Abran, Alain&lt;/author&gt;&lt;/authors&gt;&lt;/contributors&gt;&lt;titles&gt;&lt;title&gt;Systematic literature review of ensemble effort estimation&lt;/title&gt;&lt;secondary-title&gt;Journal of Systems and Software&lt;/secondary-title&gt;&lt;/titles&gt;&lt;periodical&gt;&lt;full-title&gt;Journal of Systems and Software&lt;/full-title&gt;&lt;/periodical&gt;&lt;pages&gt;151-175&lt;/pages&gt;&lt;volume&gt;118&lt;/volume&gt;&lt;dates&gt;&lt;year&gt;2016&lt;/year&gt;&lt;/dates&gt;&lt;isbn&gt;0164-1212&lt;/isbn&gt;&lt;urls&gt;&lt;/urls&gt;&lt;/record&gt;&lt;/Cite&gt;&lt;Cite&gt;&lt;Author&gt;Gneiting&lt;/Author&gt;&lt;Year&gt;2011&lt;/Year&gt;&lt;RecNum&gt;7&lt;/RecNum&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00C02455" w:rsidRPr="006A3DE8">
        <w:rPr>
          <w:szCs w:val="20"/>
          <w:lang w:val="en-GB"/>
        </w:rPr>
        <w:fldChar w:fldCharType="separate"/>
      </w:r>
      <w:r w:rsidR="00003B21" w:rsidRPr="006A3DE8">
        <w:rPr>
          <w:noProof/>
          <w:szCs w:val="20"/>
          <w:lang w:val="en-GB"/>
        </w:rPr>
        <w:t>[1, 2]</w:t>
      </w:r>
      <w:r w:rsidR="00C02455" w:rsidRPr="006A3DE8">
        <w:rPr>
          <w:szCs w:val="20"/>
          <w:lang w:val="en-GB"/>
        </w:rPr>
        <w:fldChar w:fldCharType="end"/>
      </w:r>
      <w:r w:rsidR="004C375F">
        <w:rPr>
          <w:szCs w:val="20"/>
          <w:lang w:val="en-GB"/>
        </w:rPr>
        <w:t>.</w:t>
      </w:r>
    </w:p>
    <w:p w14:paraId="4BC20C3F" w14:textId="426CB26F" w:rsidR="006752FC" w:rsidRPr="006A3DE8" w:rsidRDefault="008417B7" w:rsidP="0057410C">
      <w:pPr>
        <w:rPr>
          <w:szCs w:val="20"/>
          <w:lang w:val="en-US"/>
        </w:rPr>
      </w:pPr>
      <w:r w:rsidRPr="006A3DE8">
        <w:rPr>
          <w:szCs w:val="20"/>
          <w:lang w:val="en-US"/>
        </w:rPr>
        <w:t xml:space="preserve">This paper </w:t>
      </w:r>
      <w:r w:rsidR="00805815" w:rsidRPr="006A3DE8">
        <w:rPr>
          <w:szCs w:val="20"/>
          <w:lang w:val="en-US"/>
        </w:rPr>
        <w:t xml:space="preserve">aims at </w:t>
      </w:r>
      <w:r w:rsidR="00E554F8">
        <w:rPr>
          <w:szCs w:val="20"/>
          <w:lang w:val="en-US"/>
        </w:rPr>
        <w:t>identifying</w:t>
      </w:r>
      <w:r w:rsidR="00777232" w:rsidRPr="006A3DE8">
        <w:rPr>
          <w:szCs w:val="20"/>
          <w:lang w:val="en-US"/>
        </w:rPr>
        <w:t xml:space="preserve"> </w:t>
      </w:r>
      <w:r w:rsidRPr="006A3DE8">
        <w:rPr>
          <w:szCs w:val="20"/>
          <w:lang w:val="en-US"/>
        </w:rPr>
        <w:t>when it is meaningful to use</w:t>
      </w:r>
      <w:r w:rsidR="00777232" w:rsidRPr="006A3DE8">
        <w:rPr>
          <w:szCs w:val="20"/>
          <w:lang w:val="en-US"/>
        </w:rPr>
        <w:t xml:space="preserve"> </w:t>
      </w:r>
      <w:r w:rsidR="00AF3549">
        <w:rPr>
          <w:szCs w:val="20"/>
          <w:lang w:val="en-US"/>
        </w:rPr>
        <w:t xml:space="preserve">the </w:t>
      </w:r>
      <w:r w:rsidR="00777232" w:rsidRPr="006A3DE8">
        <w:rPr>
          <w:szCs w:val="20"/>
          <w:lang w:val="en-US"/>
        </w:rPr>
        <w:t xml:space="preserve">MMRE as an </w:t>
      </w:r>
      <w:r w:rsidR="0097602D" w:rsidRPr="006A3DE8">
        <w:rPr>
          <w:szCs w:val="20"/>
          <w:lang w:val="en-US"/>
        </w:rPr>
        <w:t xml:space="preserve">effort </w:t>
      </w:r>
      <w:r w:rsidR="00777232" w:rsidRPr="006A3DE8">
        <w:rPr>
          <w:szCs w:val="20"/>
          <w:lang w:val="en-US"/>
        </w:rPr>
        <w:t xml:space="preserve">estimation </w:t>
      </w:r>
      <w:r w:rsidR="00A034E3" w:rsidRPr="006A3DE8">
        <w:rPr>
          <w:szCs w:val="20"/>
          <w:lang w:val="en-US"/>
        </w:rPr>
        <w:t>error</w:t>
      </w:r>
      <w:r w:rsidR="00777232" w:rsidRPr="006A3DE8">
        <w:rPr>
          <w:szCs w:val="20"/>
          <w:lang w:val="en-US"/>
        </w:rPr>
        <w:t xml:space="preserve"> measure</w:t>
      </w:r>
      <w:r w:rsidR="00AB7AEC">
        <w:rPr>
          <w:szCs w:val="20"/>
          <w:lang w:val="en-US"/>
        </w:rPr>
        <w:t xml:space="preserve">. </w:t>
      </w:r>
      <w:r w:rsidR="006752FC" w:rsidRPr="006A3DE8">
        <w:rPr>
          <w:szCs w:val="20"/>
          <w:lang w:val="en-US"/>
        </w:rPr>
        <w:t xml:space="preserve">The </w:t>
      </w:r>
      <w:r w:rsidR="001D00B8" w:rsidRPr="006A3DE8">
        <w:rPr>
          <w:szCs w:val="20"/>
          <w:lang w:val="en-US"/>
        </w:rPr>
        <w:t>main</w:t>
      </w:r>
      <w:r w:rsidR="006752FC" w:rsidRPr="006A3DE8">
        <w:rPr>
          <w:szCs w:val="20"/>
          <w:lang w:val="en-US"/>
        </w:rPr>
        <w:t xml:space="preserve"> premises of </w:t>
      </w:r>
      <w:r w:rsidR="00717665" w:rsidRPr="006A3DE8">
        <w:rPr>
          <w:szCs w:val="20"/>
          <w:lang w:val="en-US"/>
        </w:rPr>
        <w:t>the</w:t>
      </w:r>
      <w:r w:rsidR="006752FC" w:rsidRPr="006A3DE8">
        <w:rPr>
          <w:szCs w:val="20"/>
          <w:lang w:val="en-US"/>
        </w:rPr>
        <w:t xml:space="preserve"> analyses </w:t>
      </w:r>
      <w:r w:rsidR="00B61AB8" w:rsidRPr="006A3DE8">
        <w:rPr>
          <w:szCs w:val="20"/>
          <w:lang w:val="en-US"/>
        </w:rPr>
        <w:t xml:space="preserve">in the paper </w:t>
      </w:r>
      <w:r w:rsidR="006752FC" w:rsidRPr="006A3DE8">
        <w:rPr>
          <w:szCs w:val="20"/>
          <w:lang w:val="en-US"/>
        </w:rPr>
        <w:t>are the following:</w:t>
      </w:r>
    </w:p>
    <w:p w14:paraId="14F47DD8" w14:textId="5AB66613" w:rsidR="00552B6E" w:rsidRPr="006A3DE8" w:rsidRDefault="00256E09" w:rsidP="00F9375A">
      <w:pPr>
        <w:pStyle w:val="ListParagraph"/>
        <w:numPr>
          <w:ilvl w:val="0"/>
          <w:numId w:val="4"/>
        </w:numPr>
        <w:rPr>
          <w:szCs w:val="20"/>
          <w:lang w:val="en-US"/>
        </w:rPr>
      </w:pPr>
      <w:r w:rsidRPr="006A3DE8">
        <w:rPr>
          <w:szCs w:val="20"/>
          <w:lang w:val="en-US"/>
        </w:rPr>
        <w:t>The effort required to complete a software task is uncertain</w:t>
      </w:r>
      <w:r w:rsidR="005C3599">
        <w:rPr>
          <w:szCs w:val="20"/>
          <w:lang w:val="en-US"/>
        </w:rPr>
        <w:t xml:space="preserve"> and </w:t>
      </w:r>
      <w:r w:rsidRPr="006A3DE8">
        <w:rPr>
          <w:szCs w:val="20"/>
          <w:lang w:val="en-US"/>
        </w:rPr>
        <w:t>can be described by a</w:t>
      </w:r>
      <w:r w:rsidR="00C716CC" w:rsidRPr="006A3DE8">
        <w:rPr>
          <w:szCs w:val="20"/>
          <w:lang w:val="en-US"/>
        </w:rPr>
        <w:t xml:space="preserve"> </w:t>
      </w:r>
      <w:r w:rsidR="00552B6E" w:rsidRPr="006A3DE8">
        <w:rPr>
          <w:szCs w:val="20"/>
          <w:lang w:val="en-US"/>
        </w:rPr>
        <w:t xml:space="preserve">probability (density) </w:t>
      </w:r>
      <w:r w:rsidRPr="006A3DE8">
        <w:rPr>
          <w:szCs w:val="20"/>
          <w:lang w:val="en-US"/>
        </w:rPr>
        <w:t>distributio</w:t>
      </w:r>
      <w:r w:rsidR="00552B6E" w:rsidRPr="006A3DE8">
        <w:rPr>
          <w:szCs w:val="20"/>
          <w:lang w:val="en-US"/>
        </w:rPr>
        <w:t>n.</w:t>
      </w:r>
      <w:r w:rsidR="00F9375A" w:rsidRPr="006A3DE8">
        <w:rPr>
          <w:szCs w:val="20"/>
          <w:lang w:val="en-US"/>
        </w:rPr>
        <w:t xml:space="preserve"> </w:t>
      </w:r>
      <w:r w:rsidR="00552B6E" w:rsidRPr="006A3DE8">
        <w:rPr>
          <w:szCs w:val="20"/>
          <w:lang w:val="en-US"/>
        </w:rPr>
        <w:t xml:space="preserve">The actual </w:t>
      </w:r>
      <w:r w:rsidR="00FC3EE1" w:rsidRPr="006A3DE8">
        <w:rPr>
          <w:szCs w:val="20"/>
          <w:lang w:val="en-US"/>
        </w:rPr>
        <w:t xml:space="preserve">use of </w:t>
      </w:r>
      <w:r w:rsidR="00552B6E" w:rsidRPr="006A3DE8">
        <w:rPr>
          <w:szCs w:val="20"/>
          <w:lang w:val="en-US"/>
        </w:rPr>
        <w:t xml:space="preserve">effort </w:t>
      </w:r>
      <w:r w:rsidR="00F90D9B" w:rsidRPr="006A3DE8">
        <w:rPr>
          <w:szCs w:val="20"/>
          <w:lang w:val="en-US"/>
        </w:rPr>
        <w:t xml:space="preserve">can be viewed as </w:t>
      </w:r>
      <w:r w:rsidR="00803CE2">
        <w:rPr>
          <w:szCs w:val="20"/>
          <w:lang w:val="en-US"/>
        </w:rPr>
        <w:t>a value</w:t>
      </w:r>
      <w:r w:rsidR="00F90D9B" w:rsidRPr="006A3DE8">
        <w:rPr>
          <w:szCs w:val="20"/>
          <w:lang w:val="en-US"/>
        </w:rPr>
        <w:t xml:space="preserve"> randomly</w:t>
      </w:r>
      <w:r w:rsidR="00552B6E" w:rsidRPr="006A3DE8">
        <w:rPr>
          <w:szCs w:val="20"/>
          <w:lang w:val="en-US"/>
        </w:rPr>
        <w:t xml:space="preserve"> sampled</w:t>
      </w:r>
      <w:r w:rsidR="002F4076" w:rsidRPr="006A3DE8">
        <w:rPr>
          <w:szCs w:val="20"/>
          <w:lang w:val="en-US"/>
        </w:rPr>
        <w:t xml:space="preserve"> from</w:t>
      </w:r>
      <w:r w:rsidR="00552B6E" w:rsidRPr="006A3DE8">
        <w:rPr>
          <w:szCs w:val="20"/>
          <w:lang w:val="en-US"/>
        </w:rPr>
        <w:t xml:space="preserve"> t</w:t>
      </w:r>
      <w:r w:rsidR="00CE22B1" w:rsidRPr="006A3DE8">
        <w:rPr>
          <w:szCs w:val="20"/>
          <w:lang w:val="en-US"/>
        </w:rPr>
        <w:t>h</w:t>
      </w:r>
      <w:r w:rsidR="00DA4267">
        <w:rPr>
          <w:szCs w:val="20"/>
          <w:lang w:val="en-US"/>
        </w:rPr>
        <w:t>is</w:t>
      </w:r>
      <w:r w:rsidR="00CE22B1" w:rsidRPr="006A3DE8">
        <w:rPr>
          <w:szCs w:val="20"/>
          <w:lang w:val="en-US"/>
        </w:rPr>
        <w:t xml:space="preserve"> effort</w:t>
      </w:r>
      <w:r w:rsidR="00B05A14" w:rsidRPr="006A3DE8">
        <w:rPr>
          <w:szCs w:val="20"/>
          <w:lang w:val="en-US"/>
        </w:rPr>
        <w:t xml:space="preserve"> probability</w:t>
      </w:r>
      <w:r w:rsidR="00552B6E" w:rsidRPr="006A3DE8">
        <w:rPr>
          <w:szCs w:val="20"/>
          <w:lang w:val="en-US"/>
        </w:rPr>
        <w:t xml:space="preserve"> distribution</w:t>
      </w:r>
      <w:r w:rsidR="00AF3549">
        <w:rPr>
          <w:szCs w:val="20"/>
          <w:lang w:val="en-US"/>
        </w:rPr>
        <w:t>.</w:t>
      </w:r>
    </w:p>
    <w:p w14:paraId="7BBFDBD2" w14:textId="21B1562B" w:rsidR="001C5F9D" w:rsidRPr="006A3DE8" w:rsidRDefault="00E56A27" w:rsidP="00A91819">
      <w:pPr>
        <w:pStyle w:val="ListParagraph"/>
        <w:numPr>
          <w:ilvl w:val="0"/>
          <w:numId w:val="4"/>
        </w:numPr>
        <w:rPr>
          <w:szCs w:val="20"/>
          <w:lang w:val="en-US"/>
        </w:rPr>
      </w:pPr>
      <w:r w:rsidRPr="006A3DE8">
        <w:rPr>
          <w:szCs w:val="20"/>
          <w:lang w:val="en-US"/>
        </w:rPr>
        <w:t xml:space="preserve">A single-point effort estimate </w:t>
      </w:r>
      <w:r w:rsidR="00C36500" w:rsidRPr="006A3DE8">
        <w:rPr>
          <w:szCs w:val="20"/>
          <w:lang w:val="en-US"/>
        </w:rPr>
        <w:t xml:space="preserve">should </w:t>
      </w:r>
      <w:r w:rsidR="00CC0F95" w:rsidRPr="006A3DE8">
        <w:rPr>
          <w:szCs w:val="20"/>
          <w:lang w:val="en-US"/>
        </w:rPr>
        <w:t>aim at estimating</w:t>
      </w:r>
      <w:r w:rsidRPr="006A3DE8">
        <w:rPr>
          <w:szCs w:val="20"/>
          <w:lang w:val="en-US"/>
        </w:rPr>
        <w:t xml:space="preserve"> a specific point of the outcome distribution</w:t>
      </w:r>
      <w:r w:rsidR="005B72BF" w:rsidRPr="006A3DE8">
        <w:rPr>
          <w:szCs w:val="20"/>
          <w:lang w:val="en-US"/>
        </w:rPr>
        <w:t xml:space="preserve">, </w:t>
      </w:r>
      <w:r w:rsidR="009139CD">
        <w:rPr>
          <w:szCs w:val="20"/>
          <w:lang w:val="en-US"/>
        </w:rPr>
        <w:t>i.e., it should have</w:t>
      </w:r>
      <w:r w:rsidR="005B72BF" w:rsidRPr="006A3DE8">
        <w:rPr>
          <w:szCs w:val="20"/>
          <w:lang w:val="en-US"/>
        </w:rPr>
        <w:t xml:space="preserve"> a probabilistic interpretation</w:t>
      </w:r>
      <w:r w:rsidR="008F0803" w:rsidRPr="006A3DE8">
        <w:rPr>
          <w:szCs w:val="20"/>
          <w:lang w:val="en-US"/>
        </w:rPr>
        <w:t>. Common points of the outcome distribution subject to software development effort estimation are the</w:t>
      </w:r>
      <w:r w:rsidR="005929EE" w:rsidRPr="006A3DE8">
        <w:rPr>
          <w:szCs w:val="20"/>
          <w:lang w:val="en-US"/>
        </w:rPr>
        <w:t xml:space="preserve"> </w:t>
      </w:r>
      <w:r w:rsidR="00756E96">
        <w:rPr>
          <w:szCs w:val="20"/>
          <w:lang w:val="en-US"/>
        </w:rPr>
        <w:t xml:space="preserve">mode (the </w:t>
      </w:r>
      <w:r w:rsidR="005929EE" w:rsidRPr="006A3DE8">
        <w:rPr>
          <w:szCs w:val="20"/>
          <w:lang w:val="en-US"/>
        </w:rPr>
        <w:t>most likely</w:t>
      </w:r>
      <w:r w:rsidR="00756E96">
        <w:rPr>
          <w:szCs w:val="20"/>
          <w:lang w:val="en-US"/>
        </w:rPr>
        <w:t>)</w:t>
      </w:r>
      <w:r w:rsidR="005929EE" w:rsidRPr="006A3DE8">
        <w:rPr>
          <w:szCs w:val="20"/>
          <w:lang w:val="en-US"/>
        </w:rPr>
        <w:t xml:space="preserve">, the median </w:t>
      </w:r>
      <w:r w:rsidR="008F0803" w:rsidRPr="006A3DE8">
        <w:rPr>
          <w:szCs w:val="20"/>
          <w:lang w:val="en-US"/>
        </w:rPr>
        <w:t>and</w:t>
      </w:r>
      <w:r w:rsidR="005929EE" w:rsidRPr="006A3DE8">
        <w:rPr>
          <w:szCs w:val="20"/>
          <w:lang w:val="en-US"/>
        </w:rPr>
        <w:t xml:space="preserve"> the mean effort.</w:t>
      </w:r>
      <w:r w:rsidR="00A91819" w:rsidRPr="006A3DE8">
        <w:rPr>
          <w:szCs w:val="20"/>
          <w:lang w:val="en-US"/>
        </w:rPr>
        <w:t xml:space="preserve"> For example, effort estimates by software developers of smaller tasks may frequently give what they believe is the mode </w:t>
      </w:r>
      <w:r w:rsidR="00A91819" w:rsidRPr="006A3DE8">
        <w:rPr>
          <w:szCs w:val="20"/>
          <w:lang w:val="en-US"/>
        </w:rPr>
        <w:lastRenderedPageBreak/>
        <w:t xml:space="preserve">(most likely) effort </w:t>
      </w:r>
      <w:r w:rsidR="00A91819" w:rsidRPr="006A3DE8">
        <w:rPr>
          <w:szCs w:val="20"/>
          <w:lang w:val="en-US"/>
        </w:rPr>
        <w:fldChar w:fldCharType="begin"/>
      </w:r>
      <w:r w:rsidR="00A91819" w:rsidRPr="006A3DE8">
        <w:rPr>
          <w:szCs w:val="20"/>
          <w:lang w:val="en-US"/>
        </w:rPr>
        <w:instrText xml:space="preserve"> ADDIN EN.CITE &lt;EndNote&gt;&lt;Cite&gt;&lt;Author&gt;Jørgensen&lt;/Author&gt;&lt;Year&gt;2014&lt;/Year&gt;&lt;RecNum&gt;18&lt;/RecNum&gt;&lt;DisplayText&gt;[3]&lt;/DisplayText&gt;&lt;record&gt;&lt;rec-number&gt;18&lt;/rec-number&gt;&lt;foreign-keys&gt;&lt;key app="EN" db-id="rwddpazvrv5vx1e095w520dt02p2fv20sdaz" timestamp="1583088496"&gt;18&lt;/key&gt;&lt;/foreign-keys&gt;&lt;ref-type name="Conference Proceedings"&gt;10&lt;/ref-type&gt;&lt;contributors&gt;&lt;authors&gt;&lt;author&gt;Jørgensen, Magne&lt;/author&gt;&lt;/authors&gt;&lt;/contributors&gt;&lt;titles&gt;&lt;title&gt;Communication of software cost estimates&lt;/title&gt;&lt;secondary-title&gt;Proceedings of the 18th International Conference on Evaluation and Assessment in Software Engineering&lt;/secondary-title&gt;&lt;/titles&gt;&lt;pages&gt;1-5&lt;/pages&gt;&lt;dates&gt;&lt;year&gt;2014&lt;/year&gt;&lt;/dates&gt;&lt;urls&gt;&lt;/urls&gt;&lt;/record&gt;&lt;/Cite&gt;&lt;/EndNote&gt;</w:instrText>
      </w:r>
      <w:r w:rsidR="00A91819" w:rsidRPr="006A3DE8">
        <w:rPr>
          <w:szCs w:val="20"/>
          <w:lang w:val="en-US"/>
        </w:rPr>
        <w:fldChar w:fldCharType="separate"/>
      </w:r>
      <w:r w:rsidR="00A91819" w:rsidRPr="006A3DE8">
        <w:rPr>
          <w:noProof/>
          <w:szCs w:val="20"/>
          <w:lang w:val="en-US"/>
        </w:rPr>
        <w:t>[3]</w:t>
      </w:r>
      <w:r w:rsidR="00A91819" w:rsidRPr="006A3DE8">
        <w:rPr>
          <w:szCs w:val="20"/>
          <w:lang w:val="en-US"/>
        </w:rPr>
        <w:fldChar w:fldCharType="end"/>
      </w:r>
      <w:r w:rsidR="00A91819" w:rsidRPr="006A3DE8">
        <w:rPr>
          <w:szCs w:val="20"/>
          <w:lang w:val="en-US"/>
        </w:rPr>
        <w:t xml:space="preserve">, the median </w:t>
      </w:r>
      <w:r w:rsidR="007C452D">
        <w:rPr>
          <w:szCs w:val="20"/>
          <w:lang w:val="en-US"/>
        </w:rPr>
        <w:t xml:space="preserve">effort </w:t>
      </w:r>
      <w:r w:rsidR="00505DB8">
        <w:rPr>
          <w:szCs w:val="20"/>
          <w:lang w:val="en-US"/>
        </w:rPr>
        <w:t xml:space="preserve">may be prescribed </w:t>
      </w:r>
      <w:r w:rsidR="00A91819" w:rsidRPr="006A3DE8">
        <w:rPr>
          <w:szCs w:val="20"/>
          <w:lang w:val="en-US"/>
        </w:rPr>
        <w:t>as estimate</w:t>
      </w:r>
      <w:r w:rsidR="007C452D">
        <w:rPr>
          <w:szCs w:val="20"/>
          <w:lang w:val="en-US"/>
        </w:rPr>
        <w:t>s</w:t>
      </w:r>
      <w:r w:rsidR="00A91819" w:rsidRPr="006A3DE8">
        <w:rPr>
          <w:szCs w:val="20"/>
          <w:lang w:val="en-US"/>
        </w:rPr>
        <w:t xml:space="preserve"> for the planned </w:t>
      </w:r>
      <w:r w:rsidR="008B32F4">
        <w:rPr>
          <w:szCs w:val="20"/>
          <w:lang w:val="en-US"/>
        </w:rPr>
        <w:t xml:space="preserve">or budgeted </w:t>
      </w:r>
      <w:r w:rsidR="00A91819" w:rsidRPr="006A3DE8">
        <w:rPr>
          <w:szCs w:val="20"/>
          <w:lang w:val="en-US"/>
        </w:rPr>
        <w:t>effort</w:t>
      </w:r>
      <w:r w:rsidR="007C452D">
        <w:rPr>
          <w:szCs w:val="20"/>
          <w:lang w:val="en-US"/>
        </w:rPr>
        <w:t>s</w:t>
      </w:r>
      <w:r w:rsidR="00A91819" w:rsidRPr="006A3DE8">
        <w:rPr>
          <w:szCs w:val="20"/>
          <w:lang w:val="en-US"/>
        </w:rPr>
        <w:t xml:space="preserve"> </w:t>
      </w:r>
      <w:r w:rsidR="00A91819" w:rsidRPr="006A3DE8">
        <w:rPr>
          <w:szCs w:val="20"/>
          <w:lang w:val="en-US"/>
        </w:rPr>
        <w:fldChar w:fldCharType="begin"/>
      </w:r>
      <w:r w:rsidR="00A91819" w:rsidRPr="006A3DE8">
        <w:rPr>
          <w:szCs w:val="20"/>
          <w:lang w:val="en-US"/>
        </w:rPr>
        <w:instrText xml:space="preserve"> ADDIN EN.CITE &lt;EndNote&gt;&lt;Cite&gt;&lt;Author&gt;Samset&lt;/Author&gt;&lt;Year&gt;2016&lt;/Year&gt;&lt;RecNum&gt;47&lt;/RecNum&gt;&lt;DisplayText&gt;[4]&lt;/DisplayText&gt;&lt;record&gt;&lt;rec-number&gt;47&lt;/rec-number&gt;&lt;foreign-keys&gt;&lt;key app="EN" db-id="rwddpazvrv5vx1e095w520dt02p2fv20sdaz" timestamp="1592297799"&gt;47&lt;/key&gt;&lt;/foreign-keys&gt;&lt;ref-type name="Generic"&gt;13&lt;/ref-type&gt;&lt;contributors&gt;&lt;authors&gt;&lt;author&gt;Samset, Knut Fredrik&lt;/author&gt;&lt;author&gt;Volden, Gro Holst&lt;/author&gt;&lt;author&gt;Olsson, Nils&lt;/author&gt;&lt;author&gt;Kvalheim, Eirik Vårdal&lt;/author&gt;&lt;/authors&gt;&lt;/contributors&gt;&lt;titles&gt;&lt;title&gt;Governance schemes for major public investment projects: A comparative study of principles and practices in six countries&lt;/title&gt;&lt;/titles&gt;&lt;dates&gt;&lt;year&gt;2016&lt;/year&gt;&lt;/dates&gt;&lt;publisher&gt;Ex ante akademisk forlag&lt;/publisher&gt;&lt;isbn&gt;8293253479&lt;/isbn&gt;&lt;urls&gt;&lt;/urls&gt;&lt;/record&gt;&lt;/Cite&gt;&lt;/EndNote&gt;</w:instrText>
      </w:r>
      <w:r w:rsidR="00A91819" w:rsidRPr="006A3DE8">
        <w:rPr>
          <w:szCs w:val="20"/>
          <w:lang w:val="en-US"/>
        </w:rPr>
        <w:fldChar w:fldCharType="separate"/>
      </w:r>
      <w:r w:rsidR="00A91819" w:rsidRPr="006A3DE8">
        <w:rPr>
          <w:noProof/>
          <w:szCs w:val="20"/>
          <w:lang w:val="en-US"/>
        </w:rPr>
        <w:t>[4]</w:t>
      </w:r>
      <w:r w:rsidR="00A91819" w:rsidRPr="006A3DE8">
        <w:rPr>
          <w:szCs w:val="20"/>
          <w:lang w:val="en-US"/>
        </w:rPr>
        <w:fldChar w:fldCharType="end"/>
      </w:r>
      <w:r w:rsidR="00A91819" w:rsidRPr="006A3DE8">
        <w:rPr>
          <w:szCs w:val="20"/>
          <w:lang w:val="en-US"/>
        </w:rPr>
        <w:t xml:space="preserve">, and the estimates given as output from linear regression-based (Optimized Linear Square) estimation models or the PERT (Program Evaluation and Review Technique) approach aim at </w:t>
      </w:r>
      <w:r w:rsidR="00A56271">
        <w:rPr>
          <w:szCs w:val="20"/>
          <w:lang w:val="en-US"/>
        </w:rPr>
        <w:t>estimating</w:t>
      </w:r>
      <w:r w:rsidR="00A91819" w:rsidRPr="006A3DE8">
        <w:rPr>
          <w:szCs w:val="20"/>
          <w:lang w:val="en-US"/>
        </w:rPr>
        <w:t xml:space="preserve"> the mean effort </w:t>
      </w:r>
      <w:r w:rsidR="00A91819" w:rsidRPr="006A3DE8">
        <w:rPr>
          <w:szCs w:val="20"/>
          <w:lang w:val="en-US"/>
        </w:rPr>
        <w:fldChar w:fldCharType="begin"/>
      </w:r>
      <w:r w:rsidR="00A91819" w:rsidRPr="006A3DE8">
        <w:rPr>
          <w:szCs w:val="20"/>
          <w:lang w:val="en-US"/>
        </w:rPr>
        <w:instrText xml:space="preserve"> ADDIN EN.CITE &lt;EndNote&gt;&lt;Cite&gt;&lt;Author&gt;Golenko-Ginzburg&lt;/Author&gt;&lt;Year&gt;1988&lt;/Year&gt;&lt;RecNum&gt;46&lt;/RecNum&gt;&lt;DisplayText&gt;[5]&lt;/DisplayText&gt;&lt;record&gt;&lt;rec-number&gt;46&lt;/rec-number&gt;&lt;foreign-keys&gt;&lt;key app="EN" db-id="rwddpazvrv5vx1e095w520dt02p2fv20sdaz" timestamp="1592297227"&gt;46&lt;/key&gt;&lt;/foreign-keys&gt;&lt;ref-type name="Journal Article"&gt;17&lt;/ref-type&gt;&lt;contributors&gt;&lt;authors&gt;&lt;author&gt;Golenko-Ginzburg, Dimitri&lt;/author&gt;&lt;/authors&gt;&lt;/contributors&gt;&lt;titles&gt;&lt;title&gt;On the distribution of activity time in PERT&lt;/title&gt;&lt;secondary-title&gt;Journal of the Operational Research Society&lt;/secondary-title&gt;&lt;/titles&gt;&lt;periodical&gt;&lt;full-title&gt;Journal of the Operational Research Society&lt;/full-title&gt;&lt;/periodical&gt;&lt;pages&gt;767-771&lt;/pages&gt;&lt;volume&gt;39&lt;/volume&gt;&lt;number&gt;8&lt;/number&gt;&lt;dates&gt;&lt;year&gt;1988&lt;/year&gt;&lt;/dates&gt;&lt;isbn&gt;0160-5682&lt;/isbn&gt;&lt;urls&gt;&lt;/urls&gt;&lt;/record&gt;&lt;/Cite&gt;&lt;/EndNote&gt;</w:instrText>
      </w:r>
      <w:r w:rsidR="00A91819" w:rsidRPr="006A3DE8">
        <w:rPr>
          <w:szCs w:val="20"/>
          <w:lang w:val="en-US"/>
        </w:rPr>
        <w:fldChar w:fldCharType="separate"/>
      </w:r>
      <w:r w:rsidR="00A91819" w:rsidRPr="006A3DE8">
        <w:rPr>
          <w:noProof/>
          <w:szCs w:val="20"/>
          <w:lang w:val="en-US"/>
        </w:rPr>
        <w:t>[5]</w:t>
      </w:r>
      <w:r w:rsidR="00A91819" w:rsidRPr="006A3DE8">
        <w:rPr>
          <w:szCs w:val="20"/>
          <w:lang w:val="en-US"/>
        </w:rPr>
        <w:fldChar w:fldCharType="end"/>
      </w:r>
      <w:r w:rsidR="00A91819" w:rsidRPr="006A3DE8">
        <w:rPr>
          <w:szCs w:val="20"/>
          <w:lang w:val="en-US"/>
        </w:rPr>
        <w:t xml:space="preserve">. </w:t>
      </w:r>
    </w:p>
    <w:p w14:paraId="2F712764" w14:textId="619A5930" w:rsidR="003B28E2" w:rsidRDefault="006E577C" w:rsidP="00AF1A2E">
      <w:pPr>
        <w:pStyle w:val="ListParagraph"/>
        <w:numPr>
          <w:ilvl w:val="0"/>
          <w:numId w:val="4"/>
        </w:numPr>
        <w:rPr>
          <w:szCs w:val="20"/>
          <w:lang w:val="en-US"/>
        </w:rPr>
      </w:pPr>
      <w:r w:rsidRPr="006A3DE8">
        <w:rPr>
          <w:szCs w:val="20"/>
          <w:lang w:val="en-US"/>
        </w:rPr>
        <w:t>A</w:t>
      </w:r>
      <w:r w:rsidR="003B28E2">
        <w:rPr>
          <w:szCs w:val="20"/>
          <w:lang w:val="en-US"/>
        </w:rPr>
        <w:t xml:space="preserve"> proper</w:t>
      </w:r>
      <w:r w:rsidRPr="006A3DE8">
        <w:rPr>
          <w:szCs w:val="20"/>
          <w:lang w:val="en-US"/>
        </w:rPr>
        <w:t xml:space="preserve"> </w:t>
      </w:r>
      <w:r w:rsidR="00EA2ED2" w:rsidRPr="006A3DE8">
        <w:rPr>
          <w:szCs w:val="20"/>
          <w:lang w:val="en-US"/>
        </w:rPr>
        <w:t>error</w:t>
      </w:r>
      <w:r w:rsidRPr="006A3DE8">
        <w:rPr>
          <w:szCs w:val="20"/>
          <w:lang w:val="en-US"/>
        </w:rPr>
        <w:t xml:space="preserve"> measure</w:t>
      </w:r>
      <w:r w:rsidR="00702EAA">
        <w:rPr>
          <w:szCs w:val="20"/>
          <w:lang w:val="en-US"/>
        </w:rPr>
        <w:t xml:space="preserve">, see for example </w:t>
      </w:r>
      <w:r w:rsidR="00702EAA" w:rsidRPr="006A3DE8">
        <w:rPr>
          <w:szCs w:val="20"/>
          <w:lang w:val="en-US"/>
        </w:rPr>
        <w:fldChar w:fldCharType="begin"/>
      </w:r>
      <w:r w:rsidR="00702EAA" w:rsidRPr="006A3DE8">
        <w:rPr>
          <w:szCs w:val="20"/>
          <w:lang w:val="en-US"/>
        </w:rPr>
        <w:instrText xml:space="preserve"> ADDIN EN.CITE &lt;EndNote&gt;&lt;Cite&gt;&lt;Author&gt;Gneiting&lt;/Author&gt;&lt;Year&gt;2011&lt;/Year&gt;&lt;RecNum&gt;7&lt;/RecNum&gt;&lt;DisplayText&gt;[2]&lt;/DisplayText&gt;&lt;record&gt;&lt;rec-number&gt;7&lt;/rec-number&gt;&lt;foreign-keys&gt;&lt;key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00702EAA" w:rsidRPr="006A3DE8">
        <w:rPr>
          <w:szCs w:val="20"/>
          <w:lang w:val="en-US"/>
        </w:rPr>
        <w:fldChar w:fldCharType="separate"/>
      </w:r>
      <w:r w:rsidR="00702EAA" w:rsidRPr="006A3DE8">
        <w:rPr>
          <w:noProof/>
          <w:szCs w:val="20"/>
          <w:lang w:val="en-US"/>
        </w:rPr>
        <w:t>[2]</w:t>
      </w:r>
      <w:r w:rsidR="00702EAA" w:rsidRPr="006A3DE8">
        <w:rPr>
          <w:szCs w:val="20"/>
          <w:lang w:val="en-US"/>
        </w:rPr>
        <w:fldChar w:fldCharType="end"/>
      </w:r>
      <w:r w:rsidR="00702EAA">
        <w:rPr>
          <w:szCs w:val="20"/>
          <w:lang w:val="en-US"/>
        </w:rPr>
        <w:t>,</w:t>
      </w:r>
      <w:r w:rsidRPr="006A3DE8">
        <w:rPr>
          <w:szCs w:val="20"/>
          <w:lang w:val="en-US"/>
        </w:rPr>
        <w:t xml:space="preserve"> </w:t>
      </w:r>
      <w:r w:rsidR="00473424">
        <w:rPr>
          <w:szCs w:val="20"/>
          <w:lang w:val="en-US"/>
        </w:rPr>
        <w:t>should give</w:t>
      </w:r>
      <w:r w:rsidRPr="006A3DE8">
        <w:rPr>
          <w:szCs w:val="20"/>
          <w:lang w:val="en-US"/>
        </w:rPr>
        <w:t xml:space="preserve"> its </w:t>
      </w:r>
      <w:r w:rsidR="00EA2ED2" w:rsidRPr="006A3DE8">
        <w:rPr>
          <w:szCs w:val="20"/>
          <w:lang w:val="en-US"/>
        </w:rPr>
        <w:t>lowest expected error</w:t>
      </w:r>
      <w:r w:rsidRPr="006A3DE8">
        <w:rPr>
          <w:szCs w:val="20"/>
          <w:lang w:val="en-US"/>
        </w:rPr>
        <w:t xml:space="preserve"> </w:t>
      </w:r>
      <w:r w:rsidR="00E216C7" w:rsidRPr="006A3DE8">
        <w:rPr>
          <w:szCs w:val="20"/>
          <w:lang w:val="en-US"/>
        </w:rPr>
        <w:t xml:space="preserve">when the estimated and actual point of the </w:t>
      </w:r>
      <w:r w:rsidR="001D7E1B">
        <w:rPr>
          <w:szCs w:val="20"/>
          <w:lang w:val="en-US"/>
        </w:rPr>
        <w:t xml:space="preserve">outcome </w:t>
      </w:r>
      <w:r w:rsidR="00E216C7" w:rsidRPr="006A3DE8">
        <w:rPr>
          <w:szCs w:val="20"/>
          <w:lang w:val="en-US"/>
        </w:rPr>
        <w:t xml:space="preserve">distribution </w:t>
      </w:r>
      <w:r w:rsidR="00653EBB">
        <w:rPr>
          <w:szCs w:val="20"/>
          <w:lang w:val="en-US"/>
        </w:rPr>
        <w:t>have the same probabilistic interpretation</w:t>
      </w:r>
      <w:r w:rsidR="00200339">
        <w:rPr>
          <w:szCs w:val="20"/>
          <w:lang w:val="en-US"/>
        </w:rPr>
        <w:t xml:space="preserve">, e.g., when the estimated mean equals the actual mean </w:t>
      </w:r>
      <w:r w:rsidR="00857E93">
        <w:rPr>
          <w:szCs w:val="20"/>
          <w:lang w:val="en-US"/>
        </w:rPr>
        <w:t>of the effort usage distribution</w:t>
      </w:r>
      <w:r w:rsidR="00C30B95" w:rsidRPr="006A3DE8">
        <w:rPr>
          <w:szCs w:val="20"/>
          <w:lang w:val="en-US"/>
        </w:rPr>
        <w:t>.</w:t>
      </w:r>
      <w:r w:rsidR="006C037C" w:rsidRPr="006A3DE8">
        <w:rPr>
          <w:szCs w:val="20"/>
          <w:lang w:val="en-US"/>
        </w:rPr>
        <w:t xml:space="preserve"> </w:t>
      </w:r>
      <w:r w:rsidR="006F1F20" w:rsidRPr="006A3DE8">
        <w:rPr>
          <w:szCs w:val="20"/>
          <w:lang w:val="en-US"/>
        </w:rPr>
        <w:t xml:space="preserve">In the (realistic) situation where the estimator does not know the probability distribution of </w:t>
      </w:r>
      <w:r w:rsidR="000810D6">
        <w:rPr>
          <w:szCs w:val="20"/>
          <w:lang w:val="en-US"/>
        </w:rPr>
        <w:t xml:space="preserve">the actual </w:t>
      </w:r>
      <w:r w:rsidR="006F1F20" w:rsidRPr="006A3DE8">
        <w:rPr>
          <w:szCs w:val="20"/>
          <w:lang w:val="en-US"/>
        </w:rPr>
        <w:t xml:space="preserve">effort usage, the above criterion </w:t>
      </w:r>
      <w:r w:rsidR="00786567">
        <w:rPr>
          <w:szCs w:val="20"/>
          <w:lang w:val="en-US"/>
        </w:rPr>
        <w:t>for a proper error measure</w:t>
      </w:r>
      <w:r w:rsidR="001607EE">
        <w:rPr>
          <w:szCs w:val="20"/>
          <w:lang w:val="en-US"/>
        </w:rPr>
        <w:t>, without changes in what is a proper measure,</w:t>
      </w:r>
      <w:r w:rsidR="00786567">
        <w:rPr>
          <w:szCs w:val="20"/>
          <w:lang w:val="en-US"/>
        </w:rPr>
        <w:t xml:space="preserve"> </w:t>
      </w:r>
      <w:r w:rsidR="001607EE">
        <w:rPr>
          <w:szCs w:val="20"/>
          <w:lang w:val="en-US"/>
        </w:rPr>
        <w:t>transforms into</w:t>
      </w:r>
      <w:r w:rsidR="006F1F20" w:rsidRPr="006A3DE8">
        <w:rPr>
          <w:szCs w:val="20"/>
          <w:lang w:val="en-US"/>
        </w:rPr>
        <w:t xml:space="preserve"> that of a match between what the estimator </w:t>
      </w:r>
      <w:r w:rsidR="006F1F20" w:rsidRPr="006A3DE8">
        <w:rPr>
          <w:i/>
          <w:iCs/>
          <w:szCs w:val="20"/>
          <w:lang w:val="en-US"/>
        </w:rPr>
        <w:t>believes</w:t>
      </w:r>
      <w:r w:rsidR="006F1F20" w:rsidRPr="006A3DE8">
        <w:rPr>
          <w:szCs w:val="20"/>
          <w:lang w:val="en-US"/>
        </w:rPr>
        <w:t xml:space="preserve"> is the specified point of the effort distribution and the selected error measure</w:t>
      </w:r>
      <w:r w:rsidR="00480F62">
        <w:rPr>
          <w:szCs w:val="20"/>
          <w:lang w:val="en-US"/>
        </w:rPr>
        <w:t xml:space="preserve"> </w:t>
      </w:r>
      <w:r w:rsidR="00480F62" w:rsidRPr="006A3DE8">
        <w:rPr>
          <w:szCs w:val="20"/>
          <w:lang w:val="en-US"/>
        </w:rPr>
        <w:fldChar w:fldCharType="begin"/>
      </w:r>
      <w:r w:rsidR="00480F62" w:rsidRPr="006A3DE8">
        <w:rPr>
          <w:szCs w:val="20"/>
          <w:lang w:val="en-US"/>
        </w:rPr>
        <w:instrText xml:space="preserve"> ADDIN EN.CITE &lt;EndNote&gt;&lt;Cite&gt;&lt;Author&gt;Gneiting&lt;/Author&gt;&lt;Year&gt;2011&lt;/Year&gt;&lt;RecNum&gt;7&lt;/RecNum&gt;&lt;DisplayText&gt;[2]&lt;/DisplayText&gt;&lt;record&gt;&lt;rec-number&gt;7&lt;/rec-number&gt;&lt;foreign-keys&gt;&lt;key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00480F62" w:rsidRPr="006A3DE8">
        <w:rPr>
          <w:szCs w:val="20"/>
          <w:lang w:val="en-US"/>
        </w:rPr>
        <w:fldChar w:fldCharType="separate"/>
      </w:r>
      <w:r w:rsidR="00480F62" w:rsidRPr="006A3DE8">
        <w:rPr>
          <w:noProof/>
          <w:szCs w:val="20"/>
          <w:lang w:val="en-US"/>
        </w:rPr>
        <w:t>[2]</w:t>
      </w:r>
      <w:r w:rsidR="00480F62" w:rsidRPr="006A3DE8">
        <w:rPr>
          <w:szCs w:val="20"/>
          <w:lang w:val="en-US"/>
        </w:rPr>
        <w:fldChar w:fldCharType="end"/>
      </w:r>
      <w:r w:rsidR="006F1F20" w:rsidRPr="006A3DE8">
        <w:rPr>
          <w:szCs w:val="20"/>
          <w:lang w:val="en-US"/>
        </w:rPr>
        <w:t>.</w:t>
      </w:r>
    </w:p>
    <w:p w14:paraId="613E40AE" w14:textId="70F56662" w:rsidR="00256E09" w:rsidRPr="006A3DE8" w:rsidRDefault="00C30B95" w:rsidP="00857E93">
      <w:pPr>
        <w:pStyle w:val="ListParagraph"/>
        <w:numPr>
          <w:ilvl w:val="0"/>
          <w:numId w:val="4"/>
        </w:numPr>
        <w:jc w:val="left"/>
        <w:rPr>
          <w:szCs w:val="20"/>
          <w:lang w:val="en-US"/>
        </w:rPr>
      </w:pPr>
      <w:r w:rsidRPr="006A3DE8">
        <w:rPr>
          <w:szCs w:val="20"/>
          <w:lang w:val="en-US"/>
        </w:rPr>
        <w:t xml:space="preserve">Not meeting </w:t>
      </w:r>
      <w:r w:rsidR="001C4189" w:rsidRPr="006A3DE8">
        <w:rPr>
          <w:szCs w:val="20"/>
          <w:lang w:val="en-US"/>
        </w:rPr>
        <w:t xml:space="preserve">the </w:t>
      </w:r>
      <w:r w:rsidR="00A837F0">
        <w:rPr>
          <w:szCs w:val="20"/>
          <w:lang w:val="en-US"/>
        </w:rPr>
        <w:t>above</w:t>
      </w:r>
      <w:r w:rsidRPr="006A3DE8">
        <w:rPr>
          <w:szCs w:val="20"/>
          <w:lang w:val="en-US"/>
        </w:rPr>
        <w:t xml:space="preserve"> criterion, either due to lack of match between type of estimate and error measure or due to </w:t>
      </w:r>
      <w:r w:rsidR="00900DE7" w:rsidRPr="006A3DE8">
        <w:rPr>
          <w:szCs w:val="20"/>
          <w:lang w:val="en-US"/>
        </w:rPr>
        <w:t>evaluating</w:t>
      </w:r>
      <w:r w:rsidRPr="006A3DE8">
        <w:rPr>
          <w:szCs w:val="20"/>
          <w:lang w:val="en-US"/>
        </w:rPr>
        <w:t xml:space="preserve"> estimates with unknown probabilistic interpretation, means that we will not be able to </w:t>
      </w:r>
      <w:r w:rsidR="00AE0B13" w:rsidRPr="006A3DE8">
        <w:rPr>
          <w:szCs w:val="20"/>
          <w:lang w:val="en-US"/>
        </w:rPr>
        <w:t>ensure</w:t>
      </w:r>
      <w:r w:rsidRPr="006A3DE8">
        <w:rPr>
          <w:szCs w:val="20"/>
          <w:lang w:val="en-US"/>
        </w:rPr>
        <w:t xml:space="preserve"> a fair evaluation of </w:t>
      </w:r>
      <w:r w:rsidR="006C2DAF" w:rsidRPr="006A3DE8">
        <w:rPr>
          <w:szCs w:val="20"/>
          <w:lang w:val="en-US"/>
        </w:rPr>
        <w:t xml:space="preserve">the </w:t>
      </w:r>
      <w:r w:rsidRPr="006A3DE8">
        <w:rPr>
          <w:szCs w:val="20"/>
          <w:lang w:val="en-US"/>
        </w:rPr>
        <w:t>estimation error.</w:t>
      </w:r>
      <w:r w:rsidR="00AF39FD">
        <w:rPr>
          <w:szCs w:val="20"/>
          <w:lang w:val="en-US"/>
        </w:rPr>
        <w:br/>
      </w:r>
    </w:p>
    <w:p w14:paraId="64C48F6B" w14:textId="3DCAE9A6" w:rsidR="00412BC0" w:rsidRPr="00D24372" w:rsidRDefault="00CD2C1B" w:rsidP="006E3805">
      <w:pPr>
        <w:pStyle w:val="Heading1"/>
        <w:numPr>
          <w:ilvl w:val="0"/>
          <w:numId w:val="15"/>
        </w:numPr>
        <w:rPr>
          <w:sz w:val="24"/>
          <w:szCs w:val="24"/>
          <w:lang w:val="en-US"/>
        </w:rPr>
      </w:pPr>
      <w:r w:rsidRPr="00D24372">
        <w:rPr>
          <w:sz w:val="24"/>
          <w:szCs w:val="24"/>
          <w:lang w:val="en-US"/>
        </w:rPr>
        <w:t>The</w:t>
      </w:r>
      <w:r w:rsidR="006D24DE" w:rsidRPr="00D24372">
        <w:rPr>
          <w:sz w:val="24"/>
          <w:szCs w:val="24"/>
          <w:lang w:val="en-US"/>
        </w:rPr>
        <w:t xml:space="preserve"> </w:t>
      </w:r>
      <w:r w:rsidR="00125F88" w:rsidRPr="00D24372">
        <w:rPr>
          <w:sz w:val="24"/>
          <w:szCs w:val="24"/>
          <w:lang w:val="en-US"/>
        </w:rPr>
        <w:t>MMRE</w:t>
      </w:r>
      <w:r w:rsidRPr="00D24372">
        <w:rPr>
          <w:sz w:val="24"/>
          <w:szCs w:val="24"/>
          <w:lang w:val="en-US"/>
        </w:rPr>
        <w:t xml:space="preserve"> minimizing</w:t>
      </w:r>
      <w:r w:rsidR="0068615D" w:rsidRPr="00D24372">
        <w:rPr>
          <w:sz w:val="24"/>
          <w:szCs w:val="24"/>
          <w:lang w:val="en-US"/>
        </w:rPr>
        <w:t xml:space="preserve"> type of estimate</w:t>
      </w:r>
    </w:p>
    <w:p w14:paraId="62F1B216" w14:textId="7550F51C" w:rsidR="007B67E5" w:rsidRDefault="007B67E5" w:rsidP="00460047">
      <w:pPr>
        <w:rPr>
          <w:szCs w:val="20"/>
          <w:lang w:val="en-US"/>
        </w:rPr>
      </w:pPr>
      <w:r w:rsidRPr="007B67E5">
        <w:rPr>
          <w:szCs w:val="20"/>
          <w:lang w:val="en-US"/>
        </w:rPr>
        <w:t>The MMRE is the mean of a measure we can refer to as the magnitude of relative error (MRE)</w:t>
      </w:r>
      <w:r>
        <w:rPr>
          <w:szCs w:val="20"/>
          <w:lang w:val="en-US"/>
        </w:rPr>
        <w:t xml:space="preserve">, where </w:t>
      </w:r>
      <m:oMath>
        <m:r>
          <w:rPr>
            <w:rFonts w:ascii="Cambria Math" w:hAnsi="Cambria Math"/>
            <w:szCs w:val="20"/>
            <w:lang w:val="en-GB"/>
          </w:rPr>
          <m:t>MRE=</m:t>
        </m:r>
        <m:f>
          <m:fPr>
            <m:ctrlPr>
              <w:rPr>
                <w:rFonts w:ascii="Cambria Math" w:hAnsi="Cambria Math"/>
                <w:i/>
                <w:szCs w:val="20"/>
                <w:lang w:val="en-GB"/>
              </w:rPr>
            </m:ctrlPr>
          </m:fPr>
          <m:num>
            <m:d>
              <m:dPr>
                <m:begChr m:val="|"/>
                <m:endChr m:val="|"/>
                <m:ctrlPr>
                  <w:rPr>
                    <w:rFonts w:ascii="Cambria Math" w:hAnsi="Cambria Math"/>
                    <w:i/>
                    <w:szCs w:val="20"/>
                    <w:lang w:val="en-GB"/>
                  </w:rPr>
                </m:ctrlPr>
              </m:dPr>
              <m:e>
                <m:r>
                  <w:rPr>
                    <w:rFonts w:ascii="Cambria Math" w:hAnsi="Cambria Math"/>
                    <w:szCs w:val="20"/>
                    <w:lang w:val="en-GB"/>
                  </w:rPr>
                  <m:t>act-est</m:t>
                </m:r>
              </m:e>
            </m:d>
          </m:num>
          <m:den>
            <m:r>
              <w:rPr>
                <w:rFonts w:ascii="Cambria Math" w:hAnsi="Cambria Math"/>
                <w:szCs w:val="20"/>
                <w:lang w:val="en-GB"/>
              </w:rPr>
              <m:t>act</m:t>
            </m:r>
          </m:den>
        </m:f>
      </m:oMath>
      <w:r w:rsidRPr="007B67E5">
        <w:rPr>
          <w:szCs w:val="20"/>
          <w:lang w:val="en-US"/>
        </w:rPr>
        <w:t>. Any measure that minimize</w:t>
      </w:r>
      <w:r>
        <w:rPr>
          <w:szCs w:val="20"/>
          <w:lang w:val="en-US"/>
        </w:rPr>
        <w:t>s</w:t>
      </w:r>
      <w:r w:rsidRPr="007B67E5">
        <w:rPr>
          <w:szCs w:val="20"/>
          <w:lang w:val="en-US"/>
        </w:rPr>
        <w:t xml:space="preserve"> the expectation of MRE will</w:t>
      </w:r>
      <w:r w:rsidR="001846D4">
        <w:rPr>
          <w:szCs w:val="20"/>
          <w:lang w:val="en-US"/>
        </w:rPr>
        <w:t>, due to linearity of the mean,</w:t>
      </w:r>
      <w:r w:rsidRPr="007B67E5">
        <w:rPr>
          <w:szCs w:val="20"/>
          <w:lang w:val="en-US"/>
        </w:rPr>
        <w:t xml:space="preserve"> also minimize the expectation of the </w:t>
      </w:r>
      <w:r w:rsidR="005445FA">
        <w:rPr>
          <w:szCs w:val="20"/>
          <w:lang w:val="en-US"/>
        </w:rPr>
        <w:t>M</w:t>
      </w:r>
      <w:r w:rsidRPr="007B67E5">
        <w:rPr>
          <w:szCs w:val="20"/>
          <w:lang w:val="en-US"/>
        </w:rPr>
        <w:t>MRE. For simplicity, we therefore omit the summation part of MMRE and focus on the MRE in the following.</w:t>
      </w:r>
    </w:p>
    <w:p w14:paraId="26D390DE" w14:textId="7EE1386C" w:rsidR="00A93564" w:rsidRPr="006A3DE8" w:rsidRDefault="00D94FCB" w:rsidP="009B6C0F">
      <w:pPr>
        <w:rPr>
          <w:szCs w:val="20"/>
          <w:lang w:val="en-GB"/>
        </w:rPr>
      </w:pPr>
      <w:r w:rsidRPr="006A3DE8">
        <w:rPr>
          <w:szCs w:val="20"/>
          <w:lang w:val="en-US"/>
        </w:rPr>
        <w:t>As</w:t>
      </w:r>
      <w:r w:rsidR="00253A6E" w:rsidRPr="006A3DE8">
        <w:rPr>
          <w:szCs w:val="20"/>
          <w:lang w:val="en-US"/>
        </w:rPr>
        <w:t xml:space="preserve"> </w:t>
      </w:r>
      <w:r w:rsidR="00B03ACC" w:rsidRPr="006A3DE8">
        <w:rPr>
          <w:szCs w:val="20"/>
          <w:lang w:val="en-US"/>
        </w:rPr>
        <w:t>can be derived from</w:t>
      </w:r>
      <w:r w:rsidR="00300EE5" w:rsidRPr="006A3DE8">
        <w:rPr>
          <w:szCs w:val="20"/>
          <w:lang w:val="en-GB"/>
        </w:rPr>
        <w:t xml:space="preserve"> </w:t>
      </w:r>
      <w:r w:rsidR="00C02455" w:rsidRPr="006A3DE8">
        <w:rPr>
          <w:szCs w:val="20"/>
          <w:lang w:val="en-GB"/>
        </w:rPr>
        <w:fldChar w:fldCharType="begin"/>
      </w:r>
      <w:r w:rsidR="00003B21" w:rsidRPr="006A3DE8">
        <w:rPr>
          <w:szCs w:val="20"/>
          <w:lang w:val="en-GB"/>
        </w:rPr>
        <w:instrText xml:space="preserve"> ADDIN EN.CITE &lt;EndNote&gt;&lt;Cite&gt;&lt;Author&gt;Gneiting&lt;/Author&gt;&lt;Year&gt;2011&lt;/Year&gt;&lt;RecNum&gt;7&lt;/RecNum&gt;&lt;Suffix&gt;`, Theorem 5&lt;/Suffix&gt;&lt;DisplayText&gt;[2, Theorem 5]&lt;/DisplayText&gt;&lt;record&gt;&lt;rec-number&gt;7&lt;/rec-number&gt;&lt;foreign-keys&gt;&lt;key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00C02455" w:rsidRPr="006A3DE8">
        <w:rPr>
          <w:szCs w:val="20"/>
          <w:lang w:val="en-GB"/>
        </w:rPr>
        <w:fldChar w:fldCharType="separate"/>
      </w:r>
      <w:r w:rsidR="00003B21" w:rsidRPr="006A3DE8">
        <w:rPr>
          <w:noProof/>
          <w:szCs w:val="20"/>
          <w:lang w:val="en-GB"/>
        </w:rPr>
        <w:t>[2, Theorem 5]</w:t>
      </w:r>
      <w:r w:rsidR="00C02455" w:rsidRPr="006A3DE8">
        <w:rPr>
          <w:szCs w:val="20"/>
          <w:lang w:val="en-GB"/>
        </w:rPr>
        <w:fldChar w:fldCharType="end"/>
      </w:r>
      <w:r w:rsidR="00300EE5" w:rsidRPr="006A3DE8">
        <w:rPr>
          <w:szCs w:val="20"/>
          <w:lang w:val="en-GB"/>
        </w:rPr>
        <w:t>,</w:t>
      </w:r>
      <w:r w:rsidR="003D5D47" w:rsidRPr="006A3DE8">
        <w:rPr>
          <w:szCs w:val="20"/>
          <w:lang w:val="en-GB"/>
        </w:rPr>
        <w:t xml:space="preserve"> </w:t>
      </w:r>
      <w:r w:rsidR="00A024F3" w:rsidRPr="006A3DE8">
        <w:rPr>
          <w:szCs w:val="20"/>
          <w:lang w:val="en-GB"/>
        </w:rPr>
        <w:t xml:space="preserve">the </w:t>
      </w:r>
      <w:r w:rsidR="00253A6E" w:rsidRPr="006A3DE8">
        <w:rPr>
          <w:szCs w:val="20"/>
          <w:lang w:val="en-GB"/>
        </w:rPr>
        <w:t xml:space="preserve">effort estimate </w:t>
      </w:r>
      <w:r w:rsidR="00A024F3" w:rsidRPr="006A3DE8">
        <w:rPr>
          <w:szCs w:val="20"/>
          <w:lang w:val="en-GB"/>
        </w:rPr>
        <w:t xml:space="preserve">that minimizes the expected value of </w:t>
      </w:r>
      <w:r w:rsidR="007B67E5">
        <w:rPr>
          <w:szCs w:val="20"/>
          <w:lang w:val="en-GB"/>
        </w:rPr>
        <w:t xml:space="preserve">MRE </w:t>
      </w:r>
      <w:r w:rsidR="00253A6E" w:rsidRPr="006A3DE8">
        <w:rPr>
          <w:szCs w:val="20"/>
          <w:lang w:val="en-GB"/>
        </w:rPr>
        <w:t xml:space="preserve">is the </w:t>
      </w:r>
      <w:r w:rsidR="00253A6E" w:rsidRPr="006A3DE8">
        <w:rPr>
          <w:i/>
          <w:iCs/>
          <w:szCs w:val="20"/>
          <w:lang w:val="en-GB"/>
        </w:rPr>
        <w:t>median of</w:t>
      </w:r>
      <w:r w:rsidR="00B56EB0" w:rsidRPr="006A3DE8">
        <w:rPr>
          <w:i/>
          <w:iCs/>
          <w:szCs w:val="20"/>
          <w:lang w:val="en-GB"/>
        </w:rPr>
        <w:t xml:space="preserve"> the effort</w:t>
      </w:r>
      <w:r w:rsidR="00253A6E" w:rsidRPr="006A3DE8">
        <w:rPr>
          <w:i/>
          <w:iCs/>
          <w:szCs w:val="20"/>
          <w:lang w:val="en-GB"/>
        </w:rPr>
        <w:t xml:space="preserve"> probability distribution </w:t>
      </w:r>
      <w:r w:rsidR="008E459E" w:rsidRPr="006A3DE8">
        <w:rPr>
          <w:i/>
          <w:iCs/>
          <w:szCs w:val="20"/>
          <w:lang w:val="en-GB"/>
        </w:rPr>
        <w:t xml:space="preserve">(f) </w:t>
      </w:r>
      <w:r w:rsidR="00253A6E" w:rsidRPr="006A3DE8">
        <w:rPr>
          <w:i/>
          <w:iCs/>
          <w:szCs w:val="20"/>
          <w:lang w:val="en-GB"/>
        </w:rPr>
        <w:t xml:space="preserve">with density proportional to </w:t>
      </w:r>
      <m:oMath>
        <m:f>
          <m:fPr>
            <m:ctrlPr>
              <w:rPr>
                <w:rFonts w:ascii="Cambria Math" w:hAnsi="Cambria Math"/>
                <w:i/>
                <w:iCs/>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act</m:t>
            </m:r>
          </m:den>
        </m:f>
        <m:r>
          <w:rPr>
            <w:rFonts w:ascii="Cambria Math" w:hAnsi="Cambria Math"/>
            <w:sz w:val="20"/>
            <w:szCs w:val="20"/>
            <w:lang w:val="en-GB"/>
          </w:rPr>
          <m:t>f(act)</m:t>
        </m:r>
      </m:oMath>
      <w:r w:rsidR="00A93564">
        <w:rPr>
          <w:szCs w:val="20"/>
          <w:lang w:val="en-GB"/>
        </w:rPr>
        <w:t xml:space="preserve">, that is, for a normalising </w:t>
      </w:r>
      <w:r w:rsidR="00A93564" w:rsidRPr="0053045B">
        <w:rPr>
          <w:i/>
          <w:iCs/>
          <w:szCs w:val="20"/>
          <w:lang w:val="en-GB"/>
        </w:rPr>
        <w:t>C</w:t>
      </w:r>
      <w:r w:rsidR="00A93564">
        <w:rPr>
          <w:szCs w:val="20"/>
          <w:lang w:val="en-GB"/>
        </w:rPr>
        <w:t xml:space="preserve">, the median of a distribution </w:t>
      </w:r>
      <m:oMath>
        <m:f>
          <m:fPr>
            <m:ctrlPr>
              <w:rPr>
                <w:rFonts w:ascii="Cambria Math" w:hAnsi="Cambria Math"/>
                <w:i/>
                <w:iCs/>
                <w:sz w:val="20"/>
                <w:szCs w:val="20"/>
                <w:lang w:val="en-GB"/>
              </w:rPr>
            </m:ctrlPr>
          </m:fPr>
          <m:num>
            <m:r>
              <w:rPr>
                <w:rFonts w:ascii="Cambria Math" w:hAnsi="Cambria Math"/>
                <w:sz w:val="20"/>
                <w:szCs w:val="20"/>
                <w:lang w:val="en-GB"/>
              </w:rPr>
              <m:t>C</m:t>
            </m:r>
          </m:num>
          <m:den>
            <m:r>
              <w:rPr>
                <w:rFonts w:ascii="Cambria Math" w:hAnsi="Cambria Math"/>
                <w:sz w:val="20"/>
                <w:szCs w:val="20"/>
                <w:lang w:val="en-GB"/>
              </w:rPr>
              <m:t>act</m:t>
            </m:r>
          </m:den>
        </m:f>
        <m:r>
          <w:rPr>
            <w:rFonts w:ascii="Cambria Math" w:hAnsi="Cambria Math"/>
            <w:sz w:val="20"/>
            <w:szCs w:val="20"/>
            <w:lang w:val="en-GB"/>
          </w:rPr>
          <m:t>f(act)</m:t>
        </m:r>
      </m:oMath>
      <w:r w:rsidR="00A93564">
        <w:rPr>
          <w:szCs w:val="20"/>
          <w:lang w:val="en-GB"/>
        </w:rPr>
        <w:t>.</w:t>
      </w:r>
    </w:p>
    <w:p w14:paraId="24FD9900" w14:textId="354609FA" w:rsidR="00A93564" w:rsidRPr="009B6C0F" w:rsidRDefault="00A93564" w:rsidP="009B6C0F">
      <w:pPr>
        <w:rPr>
          <w:szCs w:val="20"/>
          <w:lang w:val="en-GB"/>
        </w:rPr>
      </w:pPr>
      <w:r w:rsidRPr="006A3DE8">
        <w:rPr>
          <w:szCs w:val="20"/>
          <w:lang w:val="en-GB"/>
        </w:rPr>
        <w:t xml:space="preserve">It is not intuitive what this result means in terms of </w:t>
      </w:r>
      <w:r>
        <w:rPr>
          <w:szCs w:val="20"/>
          <w:lang w:val="en-GB"/>
        </w:rPr>
        <w:t xml:space="preserve">finding the </w:t>
      </w:r>
      <w:r w:rsidRPr="006A3DE8">
        <w:rPr>
          <w:szCs w:val="20"/>
          <w:lang w:val="en-GB"/>
        </w:rPr>
        <w:t xml:space="preserve">point </w:t>
      </w:r>
      <w:r>
        <w:rPr>
          <w:szCs w:val="20"/>
          <w:lang w:val="en-GB"/>
        </w:rPr>
        <w:t xml:space="preserve">of the </w:t>
      </w:r>
      <w:r w:rsidRPr="006A3DE8">
        <w:rPr>
          <w:szCs w:val="20"/>
          <w:lang w:val="en-GB"/>
        </w:rPr>
        <w:t xml:space="preserve">effort distribution </w:t>
      </w:r>
      <w:r>
        <w:rPr>
          <w:szCs w:val="20"/>
          <w:lang w:val="en-GB"/>
        </w:rPr>
        <w:t xml:space="preserve">that </w:t>
      </w:r>
      <w:r w:rsidRPr="006A3DE8">
        <w:rPr>
          <w:szCs w:val="20"/>
          <w:lang w:val="en-GB"/>
        </w:rPr>
        <w:t>minimize</w:t>
      </w:r>
      <w:r>
        <w:rPr>
          <w:szCs w:val="20"/>
          <w:lang w:val="en-GB"/>
        </w:rPr>
        <w:t>s</w:t>
      </w:r>
      <w:r w:rsidRPr="006A3DE8">
        <w:rPr>
          <w:szCs w:val="20"/>
          <w:lang w:val="en-GB"/>
        </w:rPr>
        <w:t xml:space="preserve"> the expected value of MRE, and consequently that of the MMRE.</w:t>
      </w:r>
      <w:r w:rsidRPr="006A3DE8">
        <w:rPr>
          <w:rFonts w:eastAsiaTheme="minorEastAsia"/>
          <w:szCs w:val="20"/>
          <w:lang w:val="en-US"/>
        </w:rPr>
        <w:t xml:space="preserve"> </w:t>
      </w:r>
      <w:r w:rsidRPr="006A3DE8">
        <w:rPr>
          <w:szCs w:val="20"/>
          <w:lang w:val="en-GB"/>
        </w:rPr>
        <w:t xml:space="preserve">To </w:t>
      </w:r>
      <w:r>
        <w:rPr>
          <w:szCs w:val="20"/>
          <w:lang w:val="en-GB"/>
        </w:rPr>
        <w:t>facilitate</w:t>
      </w:r>
      <w:r w:rsidRPr="006A3DE8">
        <w:rPr>
          <w:szCs w:val="20"/>
          <w:lang w:val="en-GB"/>
        </w:rPr>
        <w:t xml:space="preserve"> the analysis of properties of MRE, we therefore introduce the assumption that the effort probability distribution </w:t>
      </w:r>
      <w:r w:rsidRPr="006A3DE8">
        <w:rPr>
          <w:i/>
          <w:iCs/>
          <w:szCs w:val="20"/>
          <w:lang w:val="en-GB"/>
        </w:rPr>
        <w:t xml:space="preserve">f(act) </w:t>
      </w:r>
      <w:r w:rsidRPr="006A3DE8">
        <w:rPr>
          <w:szCs w:val="20"/>
          <w:lang w:val="en-GB"/>
        </w:rPr>
        <w:t>is lognormally distributed. Lognormal distributions are right-skewed distributions with a minimum of zero, flexible and well-known to give a good fit to many real-world phenomena</w:t>
      </w:r>
      <w:r w:rsidR="007E1FD8">
        <w:rPr>
          <w:szCs w:val="20"/>
          <w:lang w:val="en-GB"/>
        </w:rPr>
        <w:t>,</w:t>
      </w:r>
      <w:r w:rsidRPr="006A3DE8">
        <w:rPr>
          <w:szCs w:val="20"/>
          <w:lang w:val="en-GB"/>
        </w:rPr>
        <w:t xml:space="preserve"> including a fit to probability distributions of effort usage </w:t>
      </w:r>
      <w:r w:rsidRPr="006A3DE8">
        <w:rPr>
          <w:szCs w:val="20"/>
          <w:lang w:val="en-GB"/>
        </w:rPr>
        <w:fldChar w:fldCharType="begin"/>
      </w:r>
      <w:r w:rsidR="007E1FD8">
        <w:rPr>
          <w:szCs w:val="20"/>
          <w:lang w:val="en-GB"/>
        </w:rPr>
        <w:instrText xml:space="preserve"> ADDIN EN.CITE &lt;EndNote&gt;&lt;Cite&gt;&lt;Author&gt;Halkjelsvik&lt;/Author&gt;&lt;Year&gt;2018&lt;/Year&gt;&lt;RecNum&gt;23&lt;/RecNum&gt;&lt;DisplayText&gt;[6]&lt;/DisplayText&gt;&lt;record&gt;&lt;rec-number&gt;23&lt;/rec-number&gt;&lt;foreign-keys&gt;&lt;key app="EN" db-id="rwddpazvrv5vx1e095w520dt02p2fv20sdaz" timestamp="1583574262"&gt;23&lt;/key&gt;&lt;/foreign-keys&gt;&lt;ref-type name="Book"&gt;6&lt;/ref-type&gt;&lt;contributors&gt;&lt;authors&gt;&lt;author&gt;Halkjelsvik, Torleif&lt;/author&gt;&lt;author&gt;Jørgensen, Magne&lt;/author&gt;&lt;/authors&gt;&lt;/contributors&gt;&lt;titles&gt;&lt;title&gt;Time Predictions: Understanding and Avoiding Unrealism in Project Planning and Everyday Life&lt;/title&gt;&lt;/titles&gt;&lt;volume&gt;5&lt;/volume&gt;&lt;dates&gt;&lt;year&gt;2018&lt;/year&gt;&lt;/dates&gt;&lt;publisher&gt;Springer&lt;/publisher&gt;&lt;isbn&gt;3319749536&lt;/isbn&gt;&lt;urls&gt;&lt;/urls&gt;&lt;/record&gt;&lt;/Cite&gt;&lt;/EndNote&gt;</w:instrText>
      </w:r>
      <w:r w:rsidRPr="006A3DE8">
        <w:rPr>
          <w:szCs w:val="20"/>
          <w:lang w:val="en-GB"/>
        </w:rPr>
        <w:fldChar w:fldCharType="separate"/>
      </w:r>
      <w:r w:rsidR="007E1FD8">
        <w:rPr>
          <w:noProof/>
          <w:szCs w:val="20"/>
          <w:lang w:val="en-GB"/>
        </w:rPr>
        <w:t>[6]</w:t>
      </w:r>
      <w:r w:rsidRPr="006A3DE8">
        <w:rPr>
          <w:szCs w:val="20"/>
          <w:lang w:val="en-GB"/>
        </w:rPr>
        <w:fldChar w:fldCharType="end"/>
      </w:r>
      <w:r w:rsidRPr="006A3DE8">
        <w:rPr>
          <w:szCs w:val="20"/>
          <w:lang w:val="en-GB"/>
        </w:rPr>
        <w:t>.</w:t>
      </w:r>
    </w:p>
    <w:p w14:paraId="2354A173" w14:textId="77777777" w:rsidR="00A93564" w:rsidRPr="006A3DE8" w:rsidRDefault="00A93564" w:rsidP="00A93564">
      <w:pPr>
        <w:rPr>
          <w:szCs w:val="20"/>
          <w:lang w:val="en-US"/>
        </w:rPr>
      </w:pPr>
      <w:r w:rsidRPr="006A3DE8">
        <w:rPr>
          <w:szCs w:val="20"/>
          <w:lang w:val="en-GB"/>
        </w:rPr>
        <w:t xml:space="preserve">With </w:t>
      </w:r>
      <w:r w:rsidRPr="006A3DE8">
        <w:rPr>
          <w:i/>
          <w:iCs/>
          <w:szCs w:val="20"/>
          <w:lang w:val="en-GB"/>
        </w:rPr>
        <w:t>f(act)</w:t>
      </w:r>
      <w:r w:rsidRPr="006A3DE8">
        <w:rPr>
          <w:szCs w:val="20"/>
          <w:lang w:val="en-GB"/>
        </w:rPr>
        <w:t xml:space="preserve"> being a lognormal distribution with </w:t>
      </w:r>
      <w:r w:rsidRPr="006A3DE8">
        <w:rPr>
          <w:szCs w:val="20"/>
          <w:lang w:val="en-US"/>
        </w:rPr>
        <w:t xml:space="preserve">mean </w:t>
      </w:r>
      <m:oMath>
        <m:r>
          <w:rPr>
            <w:rFonts w:ascii="Cambria Math" w:hAnsi="Cambria Math"/>
            <w:szCs w:val="20"/>
            <w:lang w:val="en-US"/>
          </w:rPr>
          <m:t>μ</m:t>
        </m:r>
      </m:oMath>
      <w:r w:rsidRPr="006A3DE8">
        <w:rPr>
          <w:szCs w:val="20"/>
          <w:lang w:val="en-US"/>
        </w:rPr>
        <w:t xml:space="preserve"> and standard deviation </w:t>
      </w:r>
      <m:oMath>
        <m:r>
          <w:rPr>
            <w:rFonts w:ascii="Cambria Math" w:hAnsi="Cambria Math"/>
            <w:szCs w:val="20"/>
            <w:lang w:val="en-US"/>
          </w:rPr>
          <m:t>σ</m:t>
        </m:r>
      </m:oMath>
      <w:r w:rsidRPr="006A3DE8">
        <w:rPr>
          <w:szCs w:val="20"/>
          <w:lang w:val="en-US"/>
        </w:rPr>
        <w:t xml:space="preserve"> of the corresponding normal distribution we have that:</w:t>
      </w:r>
      <w:r w:rsidRPr="006A3DE8">
        <w:rPr>
          <w:szCs w:val="20"/>
          <w:lang w:val="en-GB"/>
        </w:rPr>
        <w:t xml:space="preserve"> </w:t>
      </w:r>
    </w:p>
    <w:p w14:paraId="00C27639" w14:textId="77777777" w:rsidR="00A93564" w:rsidRPr="00A93564" w:rsidRDefault="00A93564" w:rsidP="00A93564">
      <w:pPr>
        <w:rPr>
          <w:sz w:val="22"/>
          <w:szCs w:val="22"/>
          <w:lang w:val="en-US"/>
        </w:rPr>
      </w:pPr>
    </w:p>
    <w:p w14:paraId="3F3E1A16" w14:textId="77777777" w:rsidR="00A93564" w:rsidRPr="00264EF2" w:rsidRDefault="00A93564" w:rsidP="00A93564">
      <w:pPr>
        <w:rPr>
          <w:sz w:val="20"/>
          <w:szCs w:val="20"/>
          <w:lang w:val="en-US"/>
        </w:rPr>
      </w:pPr>
      <m:oMathPara>
        <m:oMathParaPr>
          <m:jc m:val="left"/>
        </m:oMathParaPr>
        <m:oMath>
          <m:r>
            <w:rPr>
              <w:rFonts w:ascii="Cambria Math" w:hAnsi="Cambria Math"/>
              <w:sz w:val="20"/>
              <w:szCs w:val="20"/>
              <w:lang w:val="en-US"/>
            </w:rPr>
            <m:t xml:space="preserve">I) </m:t>
          </m:r>
          <m:f>
            <m:fPr>
              <m:ctrlPr>
                <w:rPr>
                  <w:rFonts w:ascii="Cambria Math" w:hAnsi="Cambria Math"/>
                  <w:i/>
                  <w:sz w:val="20"/>
                  <w:szCs w:val="20"/>
                  <w:lang w:val="en-US"/>
                </w:rPr>
              </m:ctrlPr>
            </m:fPr>
            <m:num>
              <m:r>
                <w:rPr>
                  <w:rFonts w:ascii="Cambria Math" w:hAnsi="Cambria Math"/>
                  <w:sz w:val="20"/>
                  <w:szCs w:val="20"/>
                  <w:lang w:val="en-US"/>
                </w:rPr>
                <m:t>C</m:t>
              </m:r>
            </m:num>
            <m:den>
              <m:r>
                <w:rPr>
                  <w:rFonts w:ascii="Cambria Math" w:hAnsi="Cambria Math"/>
                  <w:sz w:val="20"/>
                  <w:szCs w:val="20"/>
                  <w:lang w:val="en-US"/>
                </w:rPr>
                <m:t>act</m:t>
              </m:r>
            </m:den>
          </m:f>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act</m:t>
              </m:r>
            </m:e>
          </m:d>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C</m:t>
              </m:r>
            </m:num>
            <m:den>
              <m:r>
                <w:rPr>
                  <w:rFonts w:ascii="Cambria Math" w:hAnsi="Cambria Math"/>
                  <w:sz w:val="20"/>
                  <w:szCs w:val="20"/>
                  <w:lang w:val="en-US"/>
                </w:rPr>
                <m:t>act</m:t>
              </m:r>
            </m:den>
          </m:f>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act σ</m:t>
              </m:r>
              <m:rad>
                <m:radPr>
                  <m:degHide m:val="1"/>
                  <m:ctrlPr>
                    <w:rPr>
                      <w:rFonts w:ascii="Cambria Math" w:hAnsi="Cambria Math"/>
                      <w:i/>
                      <w:sz w:val="20"/>
                      <w:szCs w:val="20"/>
                      <w:lang w:val="en-US"/>
                    </w:rPr>
                  </m:ctrlPr>
                </m:radPr>
                <m:deg/>
                <m:e>
                  <m:r>
                    <w:rPr>
                      <w:rFonts w:ascii="Cambria Math" w:hAnsi="Cambria Math"/>
                      <w:sz w:val="20"/>
                      <w:szCs w:val="20"/>
                      <w:lang w:val="en-US"/>
                    </w:rPr>
                    <m:t>2π</m:t>
                  </m:r>
                </m:e>
              </m:rad>
            </m:den>
          </m:f>
          <m:func>
            <m:funcPr>
              <m:ctrlPr>
                <w:rPr>
                  <w:rFonts w:ascii="Cambria Math" w:hAnsi="Cambria Math"/>
                  <w:i/>
                  <w:sz w:val="20"/>
                  <w:szCs w:val="20"/>
                  <w:lang w:val="en-US"/>
                </w:rPr>
              </m:ctrlPr>
            </m:funcPr>
            <m:fName>
              <m:r>
                <m:rPr>
                  <m:sty m:val="p"/>
                </m:rPr>
                <w:rPr>
                  <w:rFonts w:ascii="Cambria Math" w:hAnsi="Cambria Math"/>
                  <w:sz w:val="20"/>
                  <w:szCs w:val="20"/>
                  <w:lang w:val="en-US"/>
                </w:rPr>
                <m:t>exp</m:t>
              </m:r>
            </m:fName>
            <m:e>
              <m:d>
                <m:dPr>
                  <m:ctrlPr>
                    <w:rPr>
                      <w:rFonts w:ascii="Cambria Math" w:hAnsi="Cambria Math"/>
                      <w:i/>
                      <w:sz w:val="20"/>
                      <w:szCs w:val="20"/>
                      <w:lang w:val="en-US"/>
                    </w:rPr>
                  </m:ctrlPr>
                </m:dPr>
                <m:e>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m:t>
                          </m:r>
                          <m:func>
                            <m:funcPr>
                              <m:ctrlPr>
                                <w:rPr>
                                  <w:rFonts w:ascii="Cambria Math" w:hAnsi="Cambria Math"/>
                                  <w:i/>
                                  <w:sz w:val="20"/>
                                  <w:szCs w:val="20"/>
                                  <w:lang w:val="en-US"/>
                                </w:rPr>
                              </m:ctrlPr>
                            </m:funcPr>
                            <m:fName>
                              <m:r>
                                <w:rPr>
                                  <w:rFonts w:ascii="Cambria Math" w:hAnsi="Cambria Math"/>
                                  <w:sz w:val="20"/>
                                  <w:szCs w:val="20"/>
                                  <w:lang w:val="en-US"/>
                                </w:rPr>
                                <m:t>ln</m:t>
                              </m:r>
                            </m:fName>
                            <m:e>
                              <m:r>
                                <w:rPr>
                                  <w:rFonts w:ascii="Cambria Math" w:hAnsi="Cambria Math"/>
                                  <w:sz w:val="20"/>
                                  <w:szCs w:val="20"/>
                                  <w:lang w:val="en-US"/>
                                </w:rPr>
                                <m:t>act-μ)</m:t>
                              </m:r>
                            </m:e>
                          </m:func>
                        </m:e>
                        <m:sup>
                          <m:r>
                            <w:rPr>
                              <w:rFonts w:ascii="Cambria Math" w:hAnsi="Cambria Math"/>
                              <w:sz w:val="20"/>
                              <w:szCs w:val="20"/>
                              <w:lang w:val="en-US"/>
                            </w:rPr>
                            <m:t>2</m:t>
                          </m:r>
                        </m:sup>
                      </m:sSup>
                    </m:num>
                    <m:den>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den>
                  </m:f>
                </m:e>
              </m:d>
              <m:r>
                <w:rPr>
                  <w:rFonts w:ascii="Cambria Math" w:hAnsi="Cambria Math"/>
                  <w:sz w:val="20"/>
                  <w:szCs w:val="20"/>
                  <w:lang w:val="en-US"/>
                </w:rPr>
                <m:t>=</m:t>
              </m:r>
            </m:e>
          </m:func>
          <m:f>
            <m:fPr>
              <m:ctrlPr>
                <w:rPr>
                  <w:rFonts w:ascii="Cambria Math" w:hAnsi="Cambria Math"/>
                  <w:i/>
                  <w:sz w:val="20"/>
                  <w:szCs w:val="20"/>
                  <w:lang w:val="en-US"/>
                </w:rPr>
              </m:ctrlPr>
            </m:fPr>
            <m:num>
              <m:r>
                <w:rPr>
                  <w:rFonts w:ascii="Cambria Math" w:hAnsi="Cambria Math"/>
                  <w:sz w:val="20"/>
                  <w:szCs w:val="20"/>
                  <w:lang w:val="en-US"/>
                </w:rPr>
                <m:t>C</m:t>
              </m:r>
            </m:num>
            <m:den>
              <m:sSup>
                <m:sSupPr>
                  <m:ctrlPr>
                    <w:rPr>
                      <w:rFonts w:ascii="Cambria Math" w:hAnsi="Cambria Math"/>
                      <w:i/>
                      <w:sz w:val="20"/>
                      <w:szCs w:val="20"/>
                      <w:lang w:val="en-US"/>
                    </w:rPr>
                  </m:ctrlPr>
                </m:sSupPr>
                <m:e>
                  <m:r>
                    <w:rPr>
                      <w:rFonts w:ascii="Cambria Math" w:hAnsi="Cambria Math"/>
                      <w:sz w:val="20"/>
                      <w:szCs w:val="20"/>
                      <w:lang w:val="en-US"/>
                    </w:rPr>
                    <m:t>act</m:t>
                  </m:r>
                </m:e>
                <m:sup>
                  <m:r>
                    <w:rPr>
                      <w:rFonts w:ascii="Cambria Math" w:hAnsi="Cambria Math"/>
                      <w:sz w:val="20"/>
                      <w:szCs w:val="20"/>
                      <w:lang w:val="en-US"/>
                    </w:rPr>
                    <m:t>2</m:t>
                  </m:r>
                </m:sup>
              </m:sSup>
              <m:r>
                <w:rPr>
                  <w:rFonts w:ascii="Cambria Math" w:hAnsi="Cambria Math"/>
                  <w:sz w:val="20"/>
                  <w:szCs w:val="20"/>
                  <w:lang w:val="en-US"/>
                </w:rPr>
                <m:t xml:space="preserve"> σ</m:t>
              </m:r>
              <m:rad>
                <m:radPr>
                  <m:degHide m:val="1"/>
                  <m:ctrlPr>
                    <w:rPr>
                      <w:rFonts w:ascii="Cambria Math" w:hAnsi="Cambria Math"/>
                      <w:i/>
                      <w:sz w:val="20"/>
                      <w:szCs w:val="20"/>
                      <w:lang w:val="en-US"/>
                    </w:rPr>
                  </m:ctrlPr>
                </m:radPr>
                <m:deg/>
                <m:e>
                  <m:r>
                    <w:rPr>
                      <w:rFonts w:ascii="Cambria Math" w:hAnsi="Cambria Math"/>
                      <w:sz w:val="20"/>
                      <w:szCs w:val="20"/>
                      <w:lang w:val="en-US"/>
                    </w:rPr>
                    <m:t>2π</m:t>
                  </m:r>
                </m:e>
              </m:rad>
            </m:den>
          </m:f>
          <m:func>
            <m:funcPr>
              <m:ctrlPr>
                <w:rPr>
                  <w:rFonts w:ascii="Cambria Math" w:hAnsi="Cambria Math"/>
                  <w:i/>
                  <w:sz w:val="20"/>
                  <w:szCs w:val="20"/>
                  <w:lang w:val="en-US"/>
                </w:rPr>
              </m:ctrlPr>
            </m:funcPr>
            <m:fName>
              <m:r>
                <m:rPr>
                  <m:sty m:val="p"/>
                </m:rPr>
                <w:rPr>
                  <w:rFonts w:ascii="Cambria Math" w:hAnsi="Cambria Math"/>
                  <w:sz w:val="20"/>
                  <w:szCs w:val="20"/>
                  <w:lang w:val="en-US"/>
                </w:rPr>
                <m:t>exp</m:t>
              </m:r>
            </m:fName>
            <m:e>
              <m:d>
                <m:dPr>
                  <m:ctrlPr>
                    <w:rPr>
                      <w:rFonts w:ascii="Cambria Math" w:hAnsi="Cambria Math"/>
                      <w:i/>
                      <w:sz w:val="20"/>
                      <w:szCs w:val="20"/>
                      <w:lang w:val="en-US"/>
                    </w:rPr>
                  </m:ctrlPr>
                </m:dPr>
                <m:e>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m:t>
                          </m:r>
                          <m:func>
                            <m:funcPr>
                              <m:ctrlPr>
                                <w:rPr>
                                  <w:rFonts w:ascii="Cambria Math" w:hAnsi="Cambria Math"/>
                                  <w:i/>
                                  <w:sz w:val="20"/>
                                  <w:szCs w:val="20"/>
                                  <w:lang w:val="en-US"/>
                                </w:rPr>
                              </m:ctrlPr>
                            </m:funcPr>
                            <m:fName>
                              <m:r>
                                <w:rPr>
                                  <w:rFonts w:ascii="Cambria Math" w:hAnsi="Cambria Math"/>
                                  <w:sz w:val="20"/>
                                  <w:szCs w:val="20"/>
                                  <w:lang w:val="en-US"/>
                                </w:rPr>
                                <m:t>ln</m:t>
                              </m:r>
                            </m:fName>
                            <m:e>
                              <m:r>
                                <w:rPr>
                                  <w:rFonts w:ascii="Cambria Math" w:hAnsi="Cambria Math"/>
                                  <w:sz w:val="20"/>
                                  <w:szCs w:val="20"/>
                                  <w:lang w:val="en-US"/>
                                </w:rPr>
                                <m:t>act-μ)</m:t>
                              </m:r>
                            </m:e>
                          </m:func>
                        </m:e>
                        <m:sup>
                          <m:r>
                            <w:rPr>
                              <w:rFonts w:ascii="Cambria Math" w:hAnsi="Cambria Math"/>
                              <w:sz w:val="20"/>
                              <w:szCs w:val="20"/>
                              <w:lang w:val="en-US"/>
                            </w:rPr>
                            <m:t>2</m:t>
                          </m:r>
                        </m:sup>
                      </m:sSup>
                    </m:num>
                    <m:den>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den>
                  </m:f>
                </m:e>
              </m:d>
            </m:e>
          </m:func>
        </m:oMath>
      </m:oMathPara>
    </w:p>
    <w:p w14:paraId="4C7B8C5E" w14:textId="77777777" w:rsidR="00A93564" w:rsidRPr="006A3DE8" w:rsidRDefault="00A93564" w:rsidP="00A93564">
      <w:pPr>
        <w:rPr>
          <w:szCs w:val="20"/>
          <w:lang w:val="en-US"/>
        </w:rPr>
      </w:pPr>
    </w:p>
    <w:p w14:paraId="3AC4D74D" w14:textId="77777777" w:rsidR="00A93564" w:rsidRPr="006A3DE8" w:rsidRDefault="00A93564" w:rsidP="00A93564">
      <w:pPr>
        <w:rPr>
          <w:szCs w:val="20"/>
          <w:lang w:val="en-US"/>
        </w:rPr>
      </w:pPr>
      <w:r w:rsidRPr="006A3DE8">
        <w:rPr>
          <w:szCs w:val="20"/>
          <w:lang w:val="en-US"/>
        </w:rPr>
        <w:t xml:space="preserve">Applying Theorem 5 from </w:t>
      </w:r>
      <w:r w:rsidRPr="006A3DE8">
        <w:rPr>
          <w:szCs w:val="20"/>
          <w:lang w:val="en-GB"/>
        </w:rPr>
        <w:fldChar w:fldCharType="begin"/>
      </w:r>
      <w:r w:rsidRPr="006A3DE8">
        <w:rPr>
          <w:szCs w:val="20"/>
          <w:lang w:val="en-GB"/>
        </w:rPr>
        <w:instrText xml:space="preserve"> ADDIN EN.CITE &lt;EndNote&gt;&lt;Cite&gt;&lt;Author&gt;Gneiting&lt;/Author&gt;&lt;Year&gt;2011&lt;/Year&gt;&lt;RecNum&gt;7&lt;/RecNum&gt;&lt;DisplayText&gt;[2]&lt;/DisplayText&gt;&lt;record&gt;&lt;rec-number&gt;7&lt;/rec-number&gt;&lt;foreign-keys&gt;&lt;key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Pr="006A3DE8">
        <w:rPr>
          <w:szCs w:val="20"/>
          <w:lang w:val="en-GB"/>
        </w:rPr>
        <w:fldChar w:fldCharType="separate"/>
      </w:r>
      <w:r w:rsidRPr="006A3DE8">
        <w:rPr>
          <w:noProof/>
          <w:szCs w:val="20"/>
          <w:lang w:val="en-GB"/>
        </w:rPr>
        <w:t>[2]</w:t>
      </w:r>
      <w:r w:rsidRPr="006A3DE8">
        <w:rPr>
          <w:szCs w:val="20"/>
          <w:lang w:val="en-GB"/>
        </w:rPr>
        <w:fldChar w:fldCharType="end"/>
      </w:r>
      <w:r w:rsidRPr="006A3DE8">
        <w:rPr>
          <w:szCs w:val="20"/>
          <w:lang w:val="en-GB"/>
        </w:rPr>
        <w:t xml:space="preserve"> </w:t>
      </w:r>
      <w:r w:rsidRPr="006A3DE8">
        <w:rPr>
          <w:szCs w:val="20"/>
          <w:lang w:val="en-US"/>
        </w:rPr>
        <w:t xml:space="preserve">we know that the median </w:t>
      </w:r>
      <w:r w:rsidRPr="006A3DE8">
        <w:rPr>
          <w:i/>
          <w:iCs/>
          <w:szCs w:val="20"/>
          <w:lang w:val="en-US"/>
        </w:rPr>
        <w:t>(m)</w:t>
      </w:r>
      <w:r w:rsidRPr="006A3DE8">
        <w:rPr>
          <w:szCs w:val="20"/>
          <w:lang w:val="en-US"/>
        </w:rPr>
        <w:t xml:space="preserve"> of </w:t>
      </w:r>
      <m:oMath>
        <m:f>
          <m:fPr>
            <m:ctrlPr>
              <w:rPr>
                <w:rFonts w:ascii="Cambria Math" w:hAnsi="Cambria Math"/>
                <w:i/>
                <w:sz w:val="20"/>
                <w:szCs w:val="20"/>
                <w:lang w:val="en-US"/>
              </w:rPr>
            </m:ctrlPr>
          </m:fPr>
          <m:num>
            <m:r>
              <w:rPr>
                <w:rFonts w:ascii="Cambria Math" w:hAnsi="Cambria Math"/>
                <w:sz w:val="20"/>
                <w:szCs w:val="20"/>
                <w:lang w:val="en-US"/>
              </w:rPr>
              <m:t>C</m:t>
            </m:r>
          </m:num>
          <m:den>
            <m:r>
              <w:rPr>
                <w:rFonts w:ascii="Cambria Math" w:hAnsi="Cambria Math"/>
                <w:sz w:val="20"/>
                <w:szCs w:val="20"/>
                <w:lang w:val="en-US"/>
              </w:rPr>
              <m:t>act</m:t>
            </m:r>
          </m:den>
        </m:f>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act</m:t>
            </m:r>
          </m:e>
        </m:d>
      </m:oMath>
      <w:r w:rsidRPr="006A3DE8">
        <w:rPr>
          <w:szCs w:val="20"/>
          <w:lang w:val="en-US"/>
        </w:rPr>
        <w:t xml:space="preserve"> minimizes the expected value of MRE. The median </w:t>
      </w:r>
      <w:r w:rsidRPr="006A3DE8">
        <w:rPr>
          <w:i/>
          <w:iCs/>
          <w:szCs w:val="20"/>
          <w:lang w:val="en-US"/>
        </w:rPr>
        <w:t>m</w:t>
      </w:r>
      <w:r w:rsidRPr="006A3DE8">
        <w:rPr>
          <w:szCs w:val="20"/>
          <w:lang w:val="en-US"/>
        </w:rPr>
        <w:t xml:space="preserve"> is defined as the point of </w:t>
      </w:r>
      <m:oMath>
        <m:f>
          <m:fPr>
            <m:ctrlPr>
              <w:rPr>
                <w:rFonts w:ascii="Cambria Math" w:hAnsi="Cambria Math"/>
                <w:i/>
                <w:sz w:val="20"/>
                <w:szCs w:val="20"/>
                <w:lang w:val="en-US"/>
              </w:rPr>
            </m:ctrlPr>
          </m:fPr>
          <m:num>
            <m:r>
              <w:rPr>
                <w:rFonts w:ascii="Cambria Math" w:hAnsi="Cambria Math"/>
                <w:sz w:val="20"/>
                <w:szCs w:val="20"/>
                <w:lang w:val="en-US"/>
              </w:rPr>
              <m:t>C</m:t>
            </m:r>
          </m:num>
          <m:den>
            <m:r>
              <w:rPr>
                <w:rFonts w:ascii="Cambria Math" w:hAnsi="Cambria Math"/>
                <w:sz w:val="20"/>
                <w:szCs w:val="20"/>
                <w:lang w:val="en-US"/>
              </w:rPr>
              <m:t>act</m:t>
            </m:r>
          </m:den>
        </m:f>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act</m:t>
            </m:r>
          </m:e>
        </m:d>
      </m:oMath>
      <w:r w:rsidRPr="006A3DE8">
        <w:rPr>
          <w:szCs w:val="20"/>
          <w:lang w:val="en-US"/>
        </w:rPr>
        <w:t xml:space="preserve"> where the following is met:</w:t>
      </w:r>
    </w:p>
    <w:p w14:paraId="2C84870E" w14:textId="77777777" w:rsidR="00A93564" w:rsidRPr="006A3DE8" w:rsidRDefault="00A93564" w:rsidP="00A93564">
      <w:pPr>
        <w:rPr>
          <w:szCs w:val="20"/>
          <w:lang w:val="en-US"/>
        </w:rPr>
      </w:pPr>
    </w:p>
    <w:p w14:paraId="733DF501" w14:textId="77777777" w:rsidR="00A93564" w:rsidRPr="00264EF2" w:rsidRDefault="00A93564" w:rsidP="00A93564">
      <w:pPr>
        <w:rPr>
          <w:sz w:val="20"/>
          <w:szCs w:val="20"/>
          <w:lang w:val="en-US"/>
        </w:rPr>
      </w:pPr>
      <m:oMathPara>
        <m:oMathParaPr>
          <m:jc m:val="left"/>
        </m:oMathParaPr>
        <m:oMath>
          <m:r>
            <w:rPr>
              <w:rFonts w:ascii="Cambria Math" w:hAnsi="Cambria Math"/>
              <w:sz w:val="20"/>
              <w:szCs w:val="20"/>
              <w:lang w:val="en-US"/>
            </w:rPr>
            <m:t>II)</m:t>
          </m:r>
          <m:nary>
            <m:naryPr>
              <m:limLoc m:val="subSup"/>
              <m:ctrlPr>
                <w:rPr>
                  <w:rFonts w:ascii="Cambria Math" w:hAnsi="Cambria Math"/>
                  <w:i/>
                  <w:sz w:val="20"/>
                  <w:szCs w:val="20"/>
                  <w:lang w:val="en-US"/>
                </w:rPr>
              </m:ctrlPr>
            </m:naryPr>
            <m:sub>
              <m:r>
                <w:rPr>
                  <w:rFonts w:ascii="Cambria Math" w:hAnsi="Cambria Math"/>
                  <w:sz w:val="20"/>
                  <w:szCs w:val="20"/>
                  <w:lang w:val="en-US"/>
                </w:rPr>
                <m:t>0</m:t>
              </m:r>
            </m:sub>
            <m:sup>
              <m:r>
                <w:rPr>
                  <w:rFonts w:ascii="Cambria Math" w:hAnsi="Cambria Math"/>
                  <w:sz w:val="20"/>
                  <w:szCs w:val="20"/>
                  <w:lang w:val="en-US"/>
                </w:rPr>
                <m:t>m</m:t>
              </m:r>
            </m:sup>
            <m:e>
              <m:f>
                <m:fPr>
                  <m:ctrlPr>
                    <w:rPr>
                      <w:rFonts w:ascii="Cambria Math" w:hAnsi="Cambria Math"/>
                      <w:i/>
                      <w:sz w:val="20"/>
                      <w:szCs w:val="20"/>
                      <w:lang w:val="en-US"/>
                    </w:rPr>
                  </m:ctrlPr>
                </m:fPr>
                <m:num>
                  <m:r>
                    <w:rPr>
                      <w:rFonts w:ascii="Cambria Math" w:hAnsi="Cambria Math"/>
                      <w:sz w:val="20"/>
                      <w:szCs w:val="20"/>
                      <w:lang w:val="en-US"/>
                    </w:rPr>
                    <m:t>C</m:t>
                  </m:r>
                </m:num>
                <m:den>
                  <m:sSup>
                    <m:sSupPr>
                      <m:ctrlPr>
                        <w:rPr>
                          <w:rFonts w:ascii="Cambria Math" w:hAnsi="Cambria Math"/>
                          <w:i/>
                          <w:sz w:val="20"/>
                          <w:szCs w:val="20"/>
                          <w:lang w:val="en-US"/>
                        </w:rPr>
                      </m:ctrlPr>
                    </m:sSupPr>
                    <m:e>
                      <m:r>
                        <w:rPr>
                          <w:rFonts w:ascii="Cambria Math" w:hAnsi="Cambria Math"/>
                          <w:sz w:val="20"/>
                          <w:szCs w:val="20"/>
                          <w:lang w:val="en-US"/>
                        </w:rPr>
                        <m:t>act</m:t>
                      </m:r>
                    </m:e>
                    <m:sup>
                      <m:r>
                        <w:rPr>
                          <w:rFonts w:ascii="Cambria Math" w:hAnsi="Cambria Math"/>
                          <w:sz w:val="20"/>
                          <w:szCs w:val="20"/>
                          <w:lang w:val="en-US"/>
                        </w:rPr>
                        <m:t>2</m:t>
                      </m:r>
                    </m:sup>
                  </m:sSup>
                  <m:r>
                    <w:rPr>
                      <w:rFonts w:ascii="Cambria Math" w:hAnsi="Cambria Math"/>
                      <w:sz w:val="20"/>
                      <w:szCs w:val="20"/>
                      <w:lang w:val="en-US"/>
                    </w:rPr>
                    <m:t>σ</m:t>
                  </m:r>
                  <m:rad>
                    <m:radPr>
                      <m:degHide m:val="1"/>
                      <m:ctrlPr>
                        <w:rPr>
                          <w:rFonts w:ascii="Cambria Math" w:hAnsi="Cambria Math"/>
                          <w:i/>
                          <w:sz w:val="20"/>
                          <w:szCs w:val="20"/>
                          <w:lang w:val="en-US"/>
                        </w:rPr>
                      </m:ctrlPr>
                    </m:radPr>
                    <m:deg/>
                    <m:e>
                      <m:r>
                        <w:rPr>
                          <w:rFonts w:ascii="Cambria Math" w:hAnsi="Cambria Math"/>
                          <w:sz w:val="20"/>
                          <w:szCs w:val="20"/>
                          <w:lang w:val="en-US"/>
                        </w:rPr>
                        <m:t>2π</m:t>
                      </m:r>
                    </m:e>
                  </m:rad>
                </m:den>
              </m:f>
              <m:func>
                <m:funcPr>
                  <m:ctrlPr>
                    <w:rPr>
                      <w:rFonts w:ascii="Cambria Math" w:hAnsi="Cambria Math"/>
                      <w:i/>
                      <w:sz w:val="20"/>
                      <w:szCs w:val="20"/>
                      <w:lang w:val="en-US"/>
                    </w:rPr>
                  </m:ctrlPr>
                </m:funcPr>
                <m:fName>
                  <m:r>
                    <m:rPr>
                      <m:sty m:val="p"/>
                    </m:rPr>
                    <w:rPr>
                      <w:rFonts w:ascii="Cambria Math" w:hAnsi="Cambria Math"/>
                      <w:sz w:val="20"/>
                      <w:szCs w:val="20"/>
                      <w:lang w:val="en-US"/>
                    </w:rPr>
                    <m:t>exp</m:t>
                  </m:r>
                </m:fName>
                <m:e>
                  <m:d>
                    <m:dPr>
                      <m:ctrlPr>
                        <w:rPr>
                          <w:rFonts w:ascii="Cambria Math" w:hAnsi="Cambria Math"/>
                          <w:i/>
                          <w:sz w:val="20"/>
                          <w:szCs w:val="20"/>
                          <w:lang w:val="en-US"/>
                        </w:rPr>
                      </m:ctrlPr>
                    </m:dPr>
                    <m:e>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m:t>
                              </m:r>
                              <m:func>
                                <m:funcPr>
                                  <m:ctrlPr>
                                    <w:rPr>
                                      <w:rFonts w:ascii="Cambria Math" w:hAnsi="Cambria Math"/>
                                      <w:i/>
                                      <w:sz w:val="20"/>
                                      <w:szCs w:val="20"/>
                                      <w:lang w:val="en-US"/>
                                    </w:rPr>
                                  </m:ctrlPr>
                                </m:funcPr>
                                <m:fName>
                                  <m:r>
                                    <w:rPr>
                                      <w:rFonts w:ascii="Cambria Math" w:hAnsi="Cambria Math"/>
                                      <w:sz w:val="20"/>
                                      <w:szCs w:val="20"/>
                                      <w:lang w:val="en-US"/>
                                    </w:rPr>
                                    <m:t>ln</m:t>
                                  </m:r>
                                </m:fName>
                                <m:e>
                                  <m:r>
                                    <w:rPr>
                                      <w:rFonts w:ascii="Cambria Math" w:hAnsi="Cambria Math"/>
                                      <w:sz w:val="20"/>
                                      <w:szCs w:val="20"/>
                                      <w:lang w:val="en-US"/>
                                    </w:rPr>
                                    <m:t>act-μ)</m:t>
                                  </m:r>
                                </m:e>
                              </m:func>
                            </m:e>
                            <m:sup>
                              <m:r>
                                <w:rPr>
                                  <w:rFonts w:ascii="Cambria Math" w:hAnsi="Cambria Math"/>
                                  <w:sz w:val="20"/>
                                  <w:szCs w:val="20"/>
                                  <w:lang w:val="en-US"/>
                                </w:rPr>
                                <m:t>2</m:t>
                              </m:r>
                            </m:sup>
                          </m:sSup>
                        </m:num>
                        <m:den>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den>
                      </m:f>
                    </m:e>
                  </m:d>
                </m:e>
              </m:func>
              <m:r>
                <w:rPr>
                  <w:rFonts w:ascii="Cambria Math" w:hAnsi="Cambria Math"/>
                  <w:sz w:val="20"/>
                  <w:szCs w:val="20"/>
                  <w:lang w:val="en-US"/>
                </w:rPr>
                <m:t>d act</m:t>
              </m:r>
            </m:e>
          </m:nary>
          <m:r>
            <w:rPr>
              <w:rFonts w:ascii="Cambria Math" w:hAnsi="Cambria Math"/>
              <w:sz w:val="20"/>
              <w:szCs w:val="20"/>
              <w:lang w:val="en-US"/>
            </w:rPr>
            <m:t>=</m:t>
          </m:r>
          <m:nary>
            <m:naryPr>
              <m:limLoc m:val="subSup"/>
              <m:ctrlPr>
                <w:rPr>
                  <w:rFonts w:ascii="Cambria Math" w:hAnsi="Cambria Math"/>
                  <w:i/>
                  <w:sz w:val="20"/>
                  <w:szCs w:val="20"/>
                  <w:lang w:val="en-US"/>
                </w:rPr>
              </m:ctrlPr>
            </m:naryPr>
            <m:sub>
              <m:r>
                <w:rPr>
                  <w:rFonts w:ascii="Cambria Math" w:hAnsi="Cambria Math"/>
                  <w:sz w:val="20"/>
                  <w:szCs w:val="20"/>
                  <w:lang w:val="en-US"/>
                </w:rPr>
                <m:t>m</m:t>
              </m:r>
            </m:sub>
            <m:sup>
              <m:r>
                <w:rPr>
                  <w:rFonts w:ascii="Cambria Math" w:hAnsi="Cambria Math"/>
                  <w:sz w:val="20"/>
                  <w:szCs w:val="20"/>
                  <w:lang w:val="en-US"/>
                </w:rPr>
                <m:t>∞</m:t>
              </m:r>
            </m:sup>
            <m:e>
              <m:f>
                <m:fPr>
                  <m:ctrlPr>
                    <w:rPr>
                      <w:rFonts w:ascii="Cambria Math" w:hAnsi="Cambria Math"/>
                      <w:i/>
                      <w:sz w:val="20"/>
                      <w:szCs w:val="20"/>
                      <w:lang w:val="en-US"/>
                    </w:rPr>
                  </m:ctrlPr>
                </m:fPr>
                <m:num>
                  <m:r>
                    <w:rPr>
                      <w:rFonts w:ascii="Cambria Math" w:hAnsi="Cambria Math"/>
                      <w:sz w:val="20"/>
                      <w:szCs w:val="20"/>
                      <w:lang w:val="en-US"/>
                    </w:rPr>
                    <m:t>C</m:t>
                  </m:r>
                </m:num>
                <m:den>
                  <m:sSup>
                    <m:sSupPr>
                      <m:ctrlPr>
                        <w:rPr>
                          <w:rFonts w:ascii="Cambria Math" w:hAnsi="Cambria Math"/>
                          <w:i/>
                          <w:sz w:val="20"/>
                          <w:szCs w:val="20"/>
                          <w:lang w:val="en-US"/>
                        </w:rPr>
                      </m:ctrlPr>
                    </m:sSupPr>
                    <m:e>
                      <m:r>
                        <w:rPr>
                          <w:rFonts w:ascii="Cambria Math" w:hAnsi="Cambria Math"/>
                          <w:sz w:val="20"/>
                          <w:szCs w:val="20"/>
                          <w:lang w:val="en-US"/>
                        </w:rPr>
                        <m:t>act</m:t>
                      </m:r>
                    </m:e>
                    <m:sup>
                      <m:r>
                        <w:rPr>
                          <w:rFonts w:ascii="Cambria Math" w:hAnsi="Cambria Math"/>
                          <w:sz w:val="20"/>
                          <w:szCs w:val="20"/>
                          <w:lang w:val="en-US"/>
                        </w:rPr>
                        <m:t>2</m:t>
                      </m:r>
                    </m:sup>
                  </m:sSup>
                  <m:r>
                    <w:rPr>
                      <w:rFonts w:ascii="Cambria Math" w:hAnsi="Cambria Math"/>
                      <w:sz w:val="20"/>
                      <w:szCs w:val="20"/>
                      <w:lang w:val="en-US"/>
                    </w:rPr>
                    <m:t>σ</m:t>
                  </m:r>
                  <m:rad>
                    <m:radPr>
                      <m:degHide m:val="1"/>
                      <m:ctrlPr>
                        <w:rPr>
                          <w:rFonts w:ascii="Cambria Math" w:hAnsi="Cambria Math"/>
                          <w:i/>
                          <w:sz w:val="20"/>
                          <w:szCs w:val="20"/>
                          <w:lang w:val="en-US"/>
                        </w:rPr>
                      </m:ctrlPr>
                    </m:radPr>
                    <m:deg/>
                    <m:e>
                      <m:r>
                        <w:rPr>
                          <w:rFonts w:ascii="Cambria Math" w:hAnsi="Cambria Math"/>
                          <w:sz w:val="20"/>
                          <w:szCs w:val="20"/>
                          <w:lang w:val="en-US"/>
                        </w:rPr>
                        <m:t>2π</m:t>
                      </m:r>
                    </m:e>
                  </m:rad>
                </m:den>
              </m:f>
              <m:func>
                <m:funcPr>
                  <m:ctrlPr>
                    <w:rPr>
                      <w:rFonts w:ascii="Cambria Math" w:hAnsi="Cambria Math"/>
                      <w:i/>
                      <w:sz w:val="20"/>
                      <w:szCs w:val="20"/>
                      <w:lang w:val="en-US"/>
                    </w:rPr>
                  </m:ctrlPr>
                </m:funcPr>
                <m:fName>
                  <m:r>
                    <m:rPr>
                      <m:sty m:val="p"/>
                    </m:rPr>
                    <w:rPr>
                      <w:rFonts w:ascii="Cambria Math" w:hAnsi="Cambria Math"/>
                      <w:sz w:val="20"/>
                      <w:szCs w:val="20"/>
                      <w:lang w:val="en-US"/>
                    </w:rPr>
                    <m:t>exp</m:t>
                  </m:r>
                </m:fName>
                <m:e>
                  <m:d>
                    <m:dPr>
                      <m:ctrlPr>
                        <w:rPr>
                          <w:rFonts w:ascii="Cambria Math" w:hAnsi="Cambria Math"/>
                          <w:i/>
                          <w:sz w:val="20"/>
                          <w:szCs w:val="20"/>
                          <w:lang w:val="en-US"/>
                        </w:rPr>
                      </m:ctrlPr>
                    </m:dPr>
                    <m:e>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m:t>
                              </m:r>
                              <m:func>
                                <m:funcPr>
                                  <m:ctrlPr>
                                    <w:rPr>
                                      <w:rFonts w:ascii="Cambria Math" w:hAnsi="Cambria Math"/>
                                      <w:i/>
                                      <w:sz w:val="20"/>
                                      <w:szCs w:val="20"/>
                                      <w:lang w:val="en-US"/>
                                    </w:rPr>
                                  </m:ctrlPr>
                                </m:funcPr>
                                <m:fName>
                                  <m:r>
                                    <w:rPr>
                                      <w:rFonts w:ascii="Cambria Math" w:hAnsi="Cambria Math"/>
                                      <w:sz w:val="20"/>
                                      <w:szCs w:val="20"/>
                                      <w:lang w:val="en-US"/>
                                    </w:rPr>
                                    <m:t>ln</m:t>
                                  </m:r>
                                </m:fName>
                                <m:e>
                                  <m:r>
                                    <w:rPr>
                                      <w:rFonts w:ascii="Cambria Math" w:hAnsi="Cambria Math"/>
                                      <w:sz w:val="20"/>
                                      <w:szCs w:val="20"/>
                                      <w:lang w:val="en-US"/>
                                    </w:rPr>
                                    <m:t>act-μ)</m:t>
                                  </m:r>
                                </m:e>
                              </m:func>
                            </m:e>
                            <m:sup>
                              <m:r>
                                <w:rPr>
                                  <w:rFonts w:ascii="Cambria Math" w:hAnsi="Cambria Math"/>
                                  <w:sz w:val="20"/>
                                  <w:szCs w:val="20"/>
                                  <w:lang w:val="en-US"/>
                                </w:rPr>
                                <m:t>2</m:t>
                              </m:r>
                            </m:sup>
                          </m:sSup>
                        </m:num>
                        <m:den>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den>
                      </m:f>
                    </m:e>
                  </m:d>
                </m:e>
              </m:func>
            </m:e>
          </m:nary>
          <m:r>
            <w:rPr>
              <w:rFonts w:ascii="Cambria Math" w:hAnsi="Cambria Math"/>
              <w:sz w:val="20"/>
              <w:szCs w:val="20"/>
              <w:lang w:val="en-US"/>
            </w:rPr>
            <m:t>d act</m:t>
          </m:r>
        </m:oMath>
      </m:oMathPara>
    </w:p>
    <w:p w14:paraId="2AED2E29" w14:textId="77777777" w:rsidR="00A93564" w:rsidRDefault="00A93564" w:rsidP="00A93564">
      <w:pPr>
        <w:rPr>
          <w:szCs w:val="20"/>
          <w:lang w:val="en-US"/>
        </w:rPr>
      </w:pPr>
    </w:p>
    <w:p w14:paraId="6810AC0A" w14:textId="77777777" w:rsidR="00A93564" w:rsidRPr="006A3DE8" w:rsidRDefault="00A93564" w:rsidP="00A93564">
      <w:pPr>
        <w:rPr>
          <w:szCs w:val="20"/>
          <w:lang w:val="en-US"/>
        </w:rPr>
      </w:pPr>
      <w:r w:rsidRPr="006A3DE8">
        <w:rPr>
          <w:szCs w:val="20"/>
          <w:lang w:val="en-US"/>
        </w:rPr>
        <w:lastRenderedPageBreak/>
        <w:t xml:space="preserve">We remove the constant </w:t>
      </w:r>
      <w:r>
        <w:rPr>
          <w:szCs w:val="20"/>
          <w:lang w:val="en-US"/>
        </w:rPr>
        <w:t>C/</w:t>
      </w:r>
      <m:oMath>
        <m:r>
          <w:rPr>
            <w:rFonts w:ascii="Cambria Math" w:hAnsi="Cambria Math"/>
            <w:szCs w:val="20"/>
            <w:lang w:val="en-US"/>
          </w:rPr>
          <m:t>σ</m:t>
        </m:r>
        <m:rad>
          <m:radPr>
            <m:degHide m:val="1"/>
            <m:ctrlPr>
              <w:rPr>
                <w:rFonts w:ascii="Cambria Math" w:hAnsi="Cambria Math"/>
                <w:i/>
                <w:szCs w:val="20"/>
                <w:lang w:val="en-US"/>
              </w:rPr>
            </m:ctrlPr>
          </m:radPr>
          <m:deg/>
          <m:e>
            <m:r>
              <w:rPr>
                <w:rFonts w:ascii="Cambria Math" w:hAnsi="Cambria Math"/>
                <w:szCs w:val="20"/>
                <w:lang w:val="en-US"/>
              </w:rPr>
              <m:t>2π</m:t>
            </m:r>
          </m:e>
        </m:rad>
      </m:oMath>
      <w:r w:rsidRPr="006A3DE8">
        <w:rPr>
          <w:szCs w:val="20"/>
          <w:lang w:val="en-US"/>
        </w:rPr>
        <w:t xml:space="preserve">, which occurs on both sides, and derive the following integral expression (by use of </w:t>
      </w:r>
      <w:r w:rsidRPr="006A3DE8">
        <w:rPr>
          <w:i/>
          <w:iCs/>
          <w:szCs w:val="20"/>
          <w:lang w:val="en-US"/>
        </w:rPr>
        <w:t>wolframalpha.com</w:t>
      </w:r>
      <w:r w:rsidRPr="006A3DE8">
        <w:rPr>
          <w:szCs w:val="20"/>
          <w:lang w:val="en-US"/>
        </w:rPr>
        <w:t>):</w:t>
      </w:r>
    </w:p>
    <w:p w14:paraId="62A4F0F8" w14:textId="77777777" w:rsidR="00A93564" w:rsidRPr="006A3DE8" w:rsidRDefault="00A93564" w:rsidP="00A93564">
      <w:pPr>
        <w:rPr>
          <w:szCs w:val="20"/>
          <w:lang w:val="en-US"/>
        </w:rPr>
      </w:pPr>
    </w:p>
    <w:p w14:paraId="6CBD452A" w14:textId="77777777" w:rsidR="00A93564" w:rsidRPr="00264EF2" w:rsidRDefault="00A93564" w:rsidP="00A93564">
      <w:pPr>
        <w:rPr>
          <w:sz w:val="20"/>
          <w:szCs w:val="20"/>
          <w:lang w:val="en-US"/>
        </w:rPr>
      </w:pPr>
      <m:oMathPara>
        <m:oMathParaPr>
          <m:jc m:val="left"/>
        </m:oMathParaPr>
        <m:oMath>
          <m:r>
            <w:rPr>
              <w:rFonts w:ascii="Cambria Math" w:hAnsi="Cambria Math"/>
              <w:sz w:val="20"/>
              <w:szCs w:val="20"/>
              <w:lang w:val="en-US"/>
            </w:rPr>
            <m:t>III)</m:t>
          </m:r>
          <m:nary>
            <m:naryPr>
              <m:limLoc m:val="subSup"/>
              <m:ctrlPr>
                <w:rPr>
                  <w:rFonts w:ascii="Cambria Math" w:hAnsi="Cambria Math"/>
                  <w:i/>
                  <w:sz w:val="20"/>
                  <w:szCs w:val="20"/>
                  <w:lang w:val="en-US"/>
                </w:rPr>
              </m:ctrlPr>
            </m:naryPr>
            <m:sub>
              <m:r>
                <w:rPr>
                  <w:rFonts w:ascii="Cambria Math" w:hAnsi="Cambria Math"/>
                  <w:sz w:val="20"/>
                  <w:szCs w:val="20"/>
                  <w:lang w:val="en-US"/>
                </w:rPr>
                <m:t>a</m:t>
              </m:r>
            </m:sub>
            <m:sup>
              <m:r>
                <w:rPr>
                  <w:rFonts w:ascii="Cambria Math" w:hAnsi="Cambria Math"/>
                  <w:sz w:val="20"/>
                  <w:szCs w:val="20"/>
                  <w:lang w:val="en-US"/>
                </w:rPr>
                <m:t>b</m:t>
              </m:r>
            </m:sup>
            <m:e>
              <m:f>
                <m:fPr>
                  <m:ctrlPr>
                    <w:rPr>
                      <w:rFonts w:ascii="Cambria Math" w:hAnsi="Cambria Math"/>
                      <w:i/>
                      <w:sz w:val="20"/>
                      <w:szCs w:val="20"/>
                      <w:lang w:val="en-US"/>
                    </w:rPr>
                  </m:ctrlPr>
                </m:fPr>
                <m:num>
                  <m:r>
                    <w:rPr>
                      <w:rFonts w:ascii="Cambria Math" w:hAnsi="Cambria Math"/>
                      <w:sz w:val="20"/>
                      <w:szCs w:val="20"/>
                      <w:lang w:val="en-US"/>
                    </w:rPr>
                    <m:t>1</m:t>
                  </m:r>
                </m:num>
                <m:den>
                  <m:sSup>
                    <m:sSupPr>
                      <m:ctrlPr>
                        <w:rPr>
                          <w:rFonts w:ascii="Cambria Math" w:hAnsi="Cambria Math"/>
                          <w:i/>
                          <w:sz w:val="20"/>
                          <w:szCs w:val="20"/>
                          <w:lang w:val="en-US"/>
                        </w:rPr>
                      </m:ctrlPr>
                    </m:sSupPr>
                    <m:e>
                      <m:r>
                        <w:rPr>
                          <w:rFonts w:ascii="Cambria Math" w:hAnsi="Cambria Math"/>
                          <w:sz w:val="20"/>
                          <w:szCs w:val="20"/>
                          <w:lang w:val="en-US"/>
                        </w:rPr>
                        <m:t>act</m:t>
                      </m:r>
                    </m:e>
                    <m:sup>
                      <m:r>
                        <w:rPr>
                          <w:rFonts w:ascii="Cambria Math" w:hAnsi="Cambria Math"/>
                          <w:sz w:val="20"/>
                          <w:szCs w:val="20"/>
                          <w:lang w:val="en-US"/>
                        </w:rPr>
                        <m:t>2</m:t>
                      </m:r>
                    </m:sup>
                  </m:sSup>
                </m:den>
              </m:f>
              <m:func>
                <m:funcPr>
                  <m:ctrlPr>
                    <w:rPr>
                      <w:rFonts w:ascii="Cambria Math" w:hAnsi="Cambria Math"/>
                      <w:i/>
                      <w:sz w:val="20"/>
                      <w:szCs w:val="20"/>
                      <w:lang w:val="en-US"/>
                    </w:rPr>
                  </m:ctrlPr>
                </m:funcPr>
                <m:fName>
                  <m:r>
                    <m:rPr>
                      <m:sty m:val="p"/>
                    </m:rPr>
                    <w:rPr>
                      <w:rFonts w:ascii="Cambria Math" w:hAnsi="Cambria Math"/>
                      <w:sz w:val="20"/>
                      <w:szCs w:val="20"/>
                      <w:lang w:val="en-US"/>
                    </w:rPr>
                    <m:t>exp</m:t>
                  </m:r>
                </m:fName>
                <m:e>
                  <m:d>
                    <m:dPr>
                      <m:ctrlPr>
                        <w:rPr>
                          <w:rFonts w:ascii="Cambria Math" w:hAnsi="Cambria Math"/>
                          <w:i/>
                          <w:sz w:val="20"/>
                          <w:szCs w:val="20"/>
                          <w:lang w:val="en-US"/>
                        </w:rPr>
                      </m:ctrlPr>
                    </m:dPr>
                    <m:e>
                      <m:r>
                        <w:rPr>
                          <w:rFonts w:ascii="Cambria Math" w:hAnsi="Cambria Math"/>
                          <w:sz w:val="20"/>
                          <w:szCs w:val="20"/>
                          <w:lang w:val="en-US"/>
                        </w:rPr>
                        <m:t>-</m:t>
                      </m:r>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m:t>
                              </m:r>
                              <m:func>
                                <m:funcPr>
                                  <m:ctrlPr>
                                    <w:rPr>
                                      <w:rFonts w:ascii="Cambria Math" w:hAnsi="Cambria Math"/>
                                      <w:i/>
                                      <w:sz w:val="20"/>
                                      <w:szCs w:val="20"/>
                                      <w:lang w:val="en-US"/>
                                    </w:rPr>
                                  </m:ctrlPr>
                                </m:funcPr>
                                <m:fName>
                                  <m:r>
                                    <w:rPr>
                                      <w:rFonts w:ascii="Cambria Math" w:hAnsi="Cambria Math"/>
                                      <w:sz w:val="20"/>
                                      <w:szCs w:val="20"/>
                                      <w:lang w:val="en-US"/>
                                    </w:rPr>
                                    <m:t>ln</m:t>
                                  </m:r>
                                </m:fName>
                                <m:e>
                                  <m:r>
                                    <w:rPr>
                                      <w:rFonts w:ascii="Cambria Math" w:hAnsi="Cambria Math"/>
                                      <w:sz w:val="20"/>
                                      <w:szCs w:val="20"/>
                                      <w:lang w:val="en-US"/>
                                    </w:rPr>
                                    <m:t>act-μ)</m:t>
                                  </m:r>
                                </m:e>
                              </m:func>
                            </m:e>
                            <m:sup>
                              <m:r>
                                <w:rPr>
                                  <w:rFonts w:ascii="Cambria Math" w:hAnsi="Cambria Math"/>
                                  <w:sz w:val="20"/>
                                  <w:szCs w:val="20"/>
                                  <w:lang w:val="en-US"/>
                                </w:rPr>
                                <m:t>2</m:t>
                              </m:r>
                            </m:sup>
                          </m:sSup>
                        </m:num>
                        <m:den>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den>
                      </m:f>
                    </m:e>
                  </m:d>
                </m:e>
              </m:func>
              <m:r>
                <w:rPr>
                  <w:rFonts w:ascii="Cambria Math" w:hAnsi="Cambria Math"/>
                  <w:sz w:val="20"/>
                  <w:szCs w:val="20"/>
                  <w:lang w:val="en-US"/>
                </w:rPr>
                <m:t>d act</m:t>
              </m:r>
            </m:e>
          </m:nary>
          <m:r>
            <w:rPr>
              <w:rFonts w:ascii="Cambria Math" w:hAnsi="Cambria Math"/>
              <w:sz w:val="20"/>
              <w:szCs w:val="20"/>
              <w:lang w:val="en-US"/>
            </w:rPr>
            <m:t xml:space="preserve">= </m:t>
          </m:r>
          <m:sSubSup>
            <m:sSubSupPr>
              <m:ctrlPr>
                <w:rPr>
                  <w:rFonts w:ascii="Cambria Math" w:hAnsi="Cambria Math"/>
                  <w:i/>
                  <w:sz w:val="20"/>
                  <w:szCs w:val="20"/>
                  <w:lang w:val="en-US"/>
                </w:rPr>
              </m:ctrlPr>
            </m:sSubSupPr>
            <m:e>
              <m:d>
                <m:dPr>
                  <m:begChr m:val="["/>
                  <m:endChr m:val="]"/>
                  <m:ctrlPr>
                    <w:rPr>
                      <w:rFonts w:ascii="Cambria Math" w:hAnsi="Cambria Math"/>
                      <w:i/>
                      <w:sz w:val="20"/>
                      <w:szCs w:val="20"/>
                      <w:lang w:val="en-US"/>
                    </w:rPr>
                  </m:ctrlPr>
                </m:dPr>
                <m:e>
                  <m:rad>
                    <m:radPr>
                      <m:degHide m:val="1"/>
                      <m:ctrlPr>
                        <w:rPr>
                          <w:rFonts w:ascii="Cambria Math" w:hAnsi="Cambria Math"/>
                          <w:i/>
                          <w:sz w:val="20"/>
                          <w:szCs w:val="20"/>
                          <w:lang w:val="en-US"/>
                        </w:rPr>
                      </m:ctrlPr>
                    </m:radPr>
                    <m:deg/>
                    <m:e>
                      <m:f>
                        <m:fPr>
                          <m:ctrlPr>
                            <w:rPr>
                              <w:rFonts w:ascii="Cambria Math" w:hAnsi="Cambria Math"/>
                              <w:i/>
                              <w:sz w:val="20"/>
                              <w:szCs w:val="20"/>
                              <w:lang w:val="en-US"/>
                            </w:rPr>
                          </m:ctrlPr>
                        </m:fPr>
                        <m:num>
                          <m:r>
                            <w:rPr>
                              <w:rFonts w:ascii="Cambria Math" w:hAnsi="Cambria Math"/>
                              <w:sz w:val="20"/>
                              <w:szCs w:val="20"/>
                              <w:lang w:val="en-US"/>
                            </w:rPr>
                            <m:t>π</m:t>
                          </m:r>
                        </m:num>
                        <m:den>
                          <m:r>
                            <w:rPr>
                              <w:rFonts w:ascii="Cambria Math" w:hAnsi="Cambria Math"/>
                              <w:sz w:val="20"/>
                              <w:szCs w:val="20"/>
                              <w:lang w:val="en-US"/>
                            </w:rPr>
                            <m:t>2</m:t>
                          </m:r>
                        </m:den>
                      </m:f>
                    </m:e>
                  </m:rad>
                  <m:func>
                    <m:funcPr>
                      <m:ctrlPr>
                        <w:rPr>
                          <w:rFonts w:ascii="Cambria Math" w:hAnsi="Cambria Math"/>
                          <w:sz w:val="20"/>
                          <w:szCs w:val="20"/>
                          <w:lang w:val="en-US"/>
                        </w:rPr>
                      </m:ctrlPr>
                    </m:funcPr>
                    <m:fName>
                      <m:r>
                        <w:rPr>
                          <w:rFonts w:ascii="Cambria Math" w:hAnsi="Cambria Math"/>
                          <w:sz w:val="20"/>
                          <w:szCs w:val="20"/>
                          <w:lang w:val="en-US"/>
                        </w:rPr>
                        <m:t xml:space="preserve">σ </m:t>
                      </m:r>
                      <m:r>
                        <m:rPr>
                          <m:sty m:val="p"/>
                        </m:rPr>
                        <w:rPr>
                          <w:rFonts w:ascii="Cambria Math" w:hAnsi="Cambria Math"/>
                          <w:sz w:val="20"/>
                          <w:szCs w:val="20"/>
                          <w:lang w:val="en-US"/>
                        </w:rPr>
                        <m:t>exp</m:t>
                      </m:r>
                    </m:fName>
                    <m:e>
                      <m:d>
                        <m:dPr>
                          <m:ctrlPr>
                            <w:rPr>
                              <w:rFonts w:ascii="Cambria Math" w:hAnsi="Cambria Math"/>
                              <w:i/>
                              <w:sz w:val="20"/>
                              <w:szCs w:val="20"/>
                              <w:lang w:val="en-US"/>
                            </w:rPr>
                          </m:ctrlPr>
                        </m:dPr>
                        <m:e>
                          <m:f>
                            <m:fPr>
                              <m:ctrlPr>
                                <w:rPr>
                                  <w:rFonts w:ascii="Cambria Math" w:hAnsi="Cambria Math"/>
                                  <w:i/>
                                  <w:sz w:val="20"/>
                                  <w:szCs w:val="20"/>
                                  <w:lang w:val="en-US"/>
                                </w:rPr>
                              </m:ctrlPr>
                            </m:fPr>
                            <m:num>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num>
                            <m:den>
                              <m:r>
                                <w:rPr>
                                  <w:rFonts w:ascii="Cambria Math" w:hAnsi="Cambria Math"/>
                                  <w:sz w:val="20"/>
                                  <w:szCs w:val="20"/>
                                  <w:lang w:val="en-US"/>
                                </w:rPr>
                                <m:t>2-μ</m:t>
                              </m:r>
                            </m:den>
                          </m:f>
                        </m:e>
                      </m:d>
                    </m:e>
                  </m:func>
                  <m:r>
                    <m:rPr>
                      <m:sty m:val="p"/>
                    </m:rPr>
                    <w:rPr>
                      <w:rFonts w:ascii="Cambria Math" w:hAnsi="Cambria Math"/>
                      <w:sz w:val="20"/>
                      <w:szCs w:val="20"/>
                      <w:lang w:val="en-US"/>
                    </w:rPr>
                    <m:t>erf⁡</m:t>
                  </m:r>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+ln act</m:t>
                          </m:r>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e>
              </m:d>
            </m:e>
            <m:sub>
              <m:r>
                <w:rPr>
                  <w:rFonts w:ascii="Cambria Math" w:hAnsi="Cambria Math"/>
                  <w:sz w:val="20"/>
                  <w:szCs w:val="20"/>
                  <w:lang w:val="en-US"/>
                </w:rPr>
                <m:t>act=a</m:t>
              </m:r>
            </m:sub>
            <m:sup>
              <m:r>
                <w:rPr>
                  <w:rFonts w:ascii="Cambria Math" w:hAnsi="Cambria Math"/>
                  <w:sz w:val="20"/>
                  <w:szCs w:val="20"/>
                  <w:lang w:val="en-US"/>
                </w:rPr>
                <m:t>act=b</m:t>
              </m:r>
            </m:sup>
          </m:sSubSup>
        </m:oMath>
      </m:oMathPara>
    </w:p>
    <w:p w14:paraId="634DE960" w14:textId="38E124C3" w:rsidR="00A93564" w:rsidRPr="006A3DE8" w:rsidRDefault="00A93564" w:rsidP="00A93564">
      <w:pPr>
        <w:rPr>
          <w:szCs w:val="20"/>
          <w:lang w:val="en-US"/>
        </w:rPr>
      </w:pPr>
      <w:r>
        <w:rPr>
          <w:lang w:val="en-US"/>
        </w:rPr>
        <w:t xml:space="preserve">where </w:t>
      </w:r>
      <w:r w:rsidRPr="00284E98">
        <w:rPr>
          <w:i/>
          <w:iCs/>
          <w:lang w:val="en-US"/>
        </w:rPr>
        <w:t>erf</w:t>
      </w:r>
      <w:r>
        <w:rPr>
          <w:lang w:val="en-US"/>
        </w:rPr>
        <w:t xml:space="preserve"> is the Gauss error function.</w:t>
      </w:r>
    </w:p>
    <w:p w14:paraId="3EFF05E8" w14:textId="77777777" w:rsidR="00A93564" w:rsidRDefault="00A93564" w:rsidP="00A93564">
      <w:pPr>
        <w:rPr>
          <w:szCs w:val="20"/>
          <w:lang w:val="en-US"/>
        </w:rPr>
      </w:pPr>
    </w:p>
    <w:p w14:paraId="58925CB0" w14:textId="37075010" w:rsidR="00A93564" w:rsidRPr="006A3DE8" w:rsidRDefault="00A93564" w:rsidP="00A93564">
      <w:pPr>
        <w:rPr>
          <w:szCs w:val="20"/>
          <w:lang w:val="en-US"/>
        </w:rPr>
      </w:pPr>
      <w:r w:rsidRPr="006A3DE8">
        <w:rPr>
          <w:szCs w:val="20"/>
          <w:lang w:val="en-US"/>
        </w:rPr>
        <w:t>Applying the integral expression in III) on the equation in II)</w:t>
      </w:r>
      <w:r>
        <w:rPr>
          <w:szCs w:val="20"/>
          <w:lang w:val="en-US"/>
        </w:rPr>
        <w:t xml:space="preserve"> and removing constants, </w:t>
      </w:r>
      <w:r w:rsidRPr="006A3DE8">
        <w:rPr>
          <w:szCs w:val="20"/>
          <w:lang w:val="en-US"/>
        </w:rPr>
        <w:t xml:space="preserve">the following must be true for </w:t>
      </w:r>
      <w:r w:rsidRPr="006A3DE8">
        <w:rPr>
          <w:i/>
          <w:iCs/>
          <w:szCs w:val="20"/>
          <w:lang w:val="en-US"/>
        </w:rPr>
        <w:t>m</w:t>
      </w:r>
      <w:r w:rsidRPr="006A3DE8">
        <w:rPr>
          <w:szCs w:val="20"/>
          <w:lang w:val="en-US"/>
        </w:rPr>
        <w:t xml:space="preserve"> being the median of  </w:t>
      </w:r>
      <m:oMath>
        <m:f>
          <m:fPr>
            <m:ctrlPr>
              <w:rPr>
                <w:rFonts w:ascii="Cambria Math" w:hAnsi="Cambria Math"/>
                <w:i/>
                <w:sz w:val="20"/>
                <w:szCs w:val="20"/>
                <w:lang w:val="en-US"/>
              </w:rPr>
            </m:ctrlPr>
          </m:fPr>
          <m:num>
            <m:r>
              <w:rPr>
                <w:rFonts w:ascii="Cambria Math" w:hAnsi="Cambria Math"/>
                <w:sz w:val="20"/>
                <w:szCs w:val="20"/>
                <w:lang w:val="en-US"/>
              </w:rPr>
              <m:t>C</m:t>
            </m:r>
          </m:num>
          <m:den>
            <m:r>
              <w:rPr>
                <w:rFonts w:ascii="Cambria Math" w:hAnsi="Cambria Math"/>
                <w:sz w:val="20"/>
                <w:szCs w:val="20"/>
                <w:lang w:val="en-US"/>
              </w:rPr>
              <m:t>act</m:t>
            </m:r>
          </m:den>
        </m:f>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act</m:t>
            </m:r>
          </m:e>
        </m:d>
      </m:oMath>
      <w:r w:rsidR="00374BC7">
        <w:rPr>
          <w:szCs w:val="20"/>
          <w:lang w:val="en-US"/>
        </w:rPr>
        <w:t>:</w:t>
      </w:r>
      <w:r w:rsidRPr="006A3DE8">
        <w:rPr>
          <w:szCs w:val="20"/>
          <w:lang w:val="en-US"/>
        </w:rPr>
        <w:t xml:space="preserve"> </w:t>
      </w:r>
    </w:p>
    <w:p w14:paraId="01FAA9C0" w14:textId="77777777" w:rsidR="00A93564" w:rsidRPr="006A3DE8" w:rsidRDefault="00A93564" w:rsidP="00A93564">
      <w:pPr>
        <w:rPr>
          <w:szCs w:val="20"/>
          <w:lang w:val="en-US"/>
        </w:rPr>
      </w:pPr>
    </w:p>
    <w:p w14:paraId="084EEE1D" w14:textId="77777777" w:rsidR="00A93564" w:rsidRPr="00264EF2" w:rsidRDefault="00193E8F" w:rsidP="00A93564">
      <w:pPr>
        <w:rPr>
          <w:sz w:val="20"/>
          <w:szCs w:val="20"/>
          <w:lang w:val="en-US"/>
        </w:rPr>
      </w:pPr>
      <m:oMathPara>
        <m:oMathParaPr>
          <m:jc m:val="left"/>
        </m:oMathParaPr>
        <m:oMath>
          <m:sSubSup>
            <m:sSubSupPr>
              <m:ctrlPr>
                <w:rPr>
                  <w:rFonts w:ascii="Cambria Math" w:hAnsi="Cambria Math"/>
                  <w:i/>
                  <w:sz w:val="20"/>
                  <w:szCs w:val="20"/>
                  <w:lang w:val="en-US"/>
                </w:rPr>
              </m:ctrlPr>
            </m:sSubSupPr>
            <m:e>
              <m:r>
                <w:rPr>
                  <w:rFonts w:ascii="Cambria Math" w:hAnsi="Cambria Math"/>
                  <w:sz w:val="20"/>
                  <w:szCs w:val="20"/>
                  <w:lang w:val="en-US"/>
                </w:rPr>
                <m:t>IV)</m:t>
              </m:r>
              <m:d>
                <m:dPr>
                  <m:begChr m:val="["/>
                  <m:endChr m:val="]"/>
                  <m:ctrlPr>
                    <w:rPr>
                      <w:rFonts w:ascii="Cambria Math" w:hAnsi="Cambria Math"/>
                      <w:i/>
                      <w:sz w:val="20"/>
                      <w:szCs w:val="20"/>
                      <w:lang w:val="en-US"/>
                    </w:rPr>
                  </m:ctrlPr>
                </m:dPr>
                <m:e>
                  <m:r>
                    <m:rPr>
                      <m:sty m:val="p"/>
                    </m:rPr>
                    <w:rPr>
                      <w:rFonts w:ascii="Cambria Math" w:hAnsi="Cambria Math"/>
                      <w:sz w:val="20"/>
                      <w:szCs w:val="20"/>
                      <w:lang w:val="en-US"/>
                    </w:rPr>
                    <m:t>erf⁡</m:t>
                  </m:r>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+ln act</m:t>
                          </m:r>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e>
              </m:d>
            </m:e>
            <m:sub>
              <m:r>
                <w:rPr>
                  <w:rFonts w:ascii="Cambria Math" w:hAnsi="Cambria Math"/>
                  <w:sz w:val="20"/>
                  <w:szCs w:val="20"/>
                  <w:lang w:val="en-US"/>
                </w:rPr>
                <m:t>act=0+</m:t>
              </m:r>
            </m:sub>
            <m:sup>
              <m:r>
                <w:rPr>
                  <w:rFonts w:ascii="Cambria Math" w:hAnsi="Cambria Math"/>
                  <w:sz w:val="20"/>
                  <w:szCs w:val="20"/>
                  <w:lang w:val="en-US"/>
                </w:rPr>
                <m:t>act=m</m:t>
              </m:r>
            </m:sup>
          </m:sSubSup>
          <m:r>
            <w:rPr>
              <w:rFonts w:ascii="Cambria Math" w:hAnsi="Cambria Math"/>
              <w:sz w:val="20"/>
              <w:szCs w:val="20"/>
              <w:lang w:val="en-US"/>
            </w:rPr>
            <m:t>=</m:t>
          </m:r>
          <m:sSubSup>
            <m:sSubSupPr>
              <m:ctrlPr>
                <w:rPr>
                  <w:rFonts w:ascii="Cambria Math" w:hAnsi="Cambria Math"/>
                  <w:i/>
                  <w:sz w:val="20"/>
                  <w:szCs w:val="20"/>
                  <w:lang w:val="en-US"/>
                </w:rPr>
              </m:ctrlPr>
            </m:sSubSupPr>
            <m:e>
              <m:d>
                <m:dPr>
                  <m:begChr m:val="["/>
                  <m:endChr m:val="]"/>
                  <m:ctrlPr>
                    <w:rPr>
                      <w:rFonts w:ascii="Cambria Math" w:hAnsi="Cambria Math"/>
                      <w:i/>
                      <w:sz w:val="20"/>
                      <w:szCs w:val="20"/>
                      <w:lang w:val="en-US"/>
                    </w:rPr>
                  </m:ctrlPr>
                </m:dPr>
                <m:e>
                  <m:r>
                    <m:rPr>
                      <m:sty m:val="p"/>
                    </m:rPr>
                    <w:rPr>
                      <w:rFonts w:ascii="Cambria Math" w:hAnsi="Cambria Math"/>
                      <w:sz w:val="20"/>
                      <w:szCs w:val="20"/>
                      <w:lang w:val="en-US"/>
                    </w:rPr>
                    <m:t>erf⁡</m:t>
                  </m:r>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+ln act</m:t>
                          </m:r>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e>
              </m:d>
            </m:e>
            <m:sub>
              <m:r>
                <w:rPr>
                  <w:rFonts w:ascii="Cambria Math" w:hAnsi="Cambria Math"/>
                  <w:sz w:val="20"/>
                  <w:szCs w:val="20"/>
                  <w:lang w:val="en-US"/>
                </w:rPr>
                <m:t>act=m</m:t>
              </m:r>
            </m:sub>
            <m:sup>
              <m:r>
                <w:rPr>
                  <w:rFonts w:ascii="Cambria Math" w:hAnsi="Cambria Math"/>
                  <w:sz w:val="20"/>
                  <w:szCs w:val="20"/>
                  <w:lang w:val="en-US"/>
                </w:rPr>
                <m:t>act=∞</m:t>
              </m:r>
            </m:sup>
          </m:sSubSup>
        </m:oMath>
      </m:oMathPara>
    </w:p>
    <w:p w14:paraId="57118D54" w14:textId="77777777" w:rsidR="00A93564" w:rsidRPr="006A3DE8" w:rsidRDefault="00A93564" w:rsidP="00A93564">
      <w:pPr>
        <w:rPr>
          <w:szCs w:val="20"/>
          <w:lang w:val="en-US"/>
        </w:rPr>
      </w:pPr>
    </w:p>
    <w:p w14:paraId="5767A23A" w14:textId="00847E9A" w:rsidR="00A93564" w:rsidRPr="005E5E55" w:rsidRDefault="00A93564" w:rsidP="00A93564">
      <w:pPr>
        <w:rPr>
          <w:rFonts w:ascii="Times New Roman" w:hAnsi="Times New Roman"/>
          <w:szCs w:val="20"/>
          <w:lang w:val="en-US"/>
        </w:rPr>
      </w:pPr>
      <w:r>
        <w:rPr>
          <w:lang w:val="en-US"/>
        </w:rPr>
        <w:t xml:space="preserve">Since </w:t>
      </w:r>
      <w:r w:rsidRPr="00621A29">
        <w:rPr>
          <w:i/>
          <w:iCs/>
          <w:lang w:val="en-US"/>
        </w:rPr>
        <w:t>erf</w:t>
      </w:r>
      <w:r>
        <w:rPr>
          <w:i/>
          <w:iCs/>
          <w:lang w:val="en-US"/>
        </w:rPr>
        <w:t xml:space="preserve"> (-</w:t>
      </w:r>
      <m:oMath>
        <m:r>
          <w:rPr>
            <w:rFonts w:ascii="Cambria Math" w:hAnsi="Cambria Math"/>
            <w:szCs w:val="20"/>
            <w:lang w:val="en-US"/>
          </w:rPr>
          <m:t>∞</m:t>
        </m:r>
      </m:oMath>
      <w:r>
        <w:rPr>
          <w:i/>
          <w:iCs/>
          <w:lang w:val="en-US"/>
        </w:rPr>
        <w:t>)</w:t>
      </w:r>
      <w:r>
        <w:rPr>
          <w:lang w:val="en-US"/>
        </w:rPr>
        <w:t xml:space="preserve"> = -1 and </w:t>
      </w:r>
      <m:oMath>
        <m:r>
          <w:rPr>
            <w:rFonts w:ascii="Cambria Math" w:hAnsi="Cambria Math"/>
            <w:lang w:val="en-US"/>
          </w:rPr>
          <m:t>erf</m:t>
        </m:r>
        <m:d>
          <m:dPr>
            <m:ctrlPr>
              <w:rPr>
                <w:rFonts w:ascii="Cambria Math" w:hAnsi="Cambria Math"/>
                <w:i/>
                <w:iCs/>
                <w:lang w:val="en-US"/>
              </w:rPr>
            </m:ctrlPr>
          </m:dPr>
          <m:e>
            <m:r>
              <w:rPr>
                <w:rFonts w:ascii="Cambria Math" w:hAnsi="Cambria Math"/>
                <w:szCs w:val="20"/>
                <w:lang w:val="en-US"/>
              </w:rPr>
              <m:t>∞</m:t>
            </m:r>
          </m:e>
        </m:d>
        <m:r>
          <m:rPr>
            <m:sty m:val="p"/>
          </m:rPr>
          <w:rPr>
            <w:rFonts w:ascii="Cambria Math" w:hAnsi="Cambria Math"/>
            <w:lang w:val="en-US"/>
          </w:rPr>
          <m:t xml:space="preserve">= </m:t>
        </m:r>
        <m:r>
          <w:rPr>
            <w:rFonts w:ascii="Cambria Math" w:hAnsi="Cambria Math"/>
            <w:szCs w:val="20"/>
            <w:lang w:val="en-US"/>
          </w:rPr>
          <m:t xml:space="preserve">1, </m:t>
        </m:r>
      </m:oMath>
      <w:r>
        <w:rPr>
          <w:szCs w:val="20"/>
          <w:lang w:val="en-US"/>
        </w:rPr>
        <w:t>eq. IV implies that m must satisfy</w:t>
      </w:r>
      <w:r w:rsidR="00E56810">
        <w:rPr>
          <w:szCs w:val="20"/>
          <w:lang w:val="en-US"/>
        </w:rPr>
        <w:t>:</w:t>
      </w:r>
    </w:p>
    <w:p w14:paraId="3DC76A01" w14:textId="77777777" w:rsidR="00A93564" w:rsidRDefault="00A93564" w:rsidP="00A93564">
      <w:pPr>
        <w:rPr>
          <w:lang w:val="en-US"/>
        </w:rPr>
      </w:pPr>
      <w:r>
        <w:rPr>
          <w:lang w:val="en-US"/>
        </w:rPr>
        <w:t xml:space="preserve"> </w:t>
      </w:r>
    </w:p>
    <w:p w14:paraId="6C260F0B" w14:textId="77777777" w:rsidR="00062DAA" w:rsidRDefault="00A93564" w:rsidP="00973E9D">
      <w:pPr>
        <w:ind w:firstLine="0"/>
        <w:rPr>
          <w:szCs w:val="20"/>
          <w:lang w:val="en-US"/>
        </w:rPr>
      </w:pPr>
      <w:r w:rsidRPr="00264EF2">
        <w:rPr>
          <w:i/>
          <w:iCs/>
          <w:sz w:val="20"/>
          <w:szCs w:val="20"/>
          <w:lang w:val="en-US"/>
        </w:rPr>
        <w:t>V</w:t>
      </w:r>
      <w:r w:rsidRPr="00264EF2">
        <w:rPr>
          <w:sz w:val="20"/>
          <w:szCs w:val="20"/>
          <w:lang w:val="en-US"/>
        </w:rPr>
        <w:t xml:space="preserve">)  </w:t>
      </w:r>
      <m:oMath>
        <m:func>
          <m:funcPr>
            <m:ctrlPr>
              <w:rPr>
                <w:rFonts w:ascii="Cambria Math" w:hAnsi="Cambria Math"/>
                <w:sz w:val="20"/>
                <w:szCs w:val="20"/>
                <w:lang w:val="en-US"/>
              </w:rPr>
            </m:ctrlPr>
          </m:funcPr>
          <m:fName>
            <m:r>
              <m:rPr>
                <m:sty m:val="p"/>
              </m:rPr>
              <w:rPr>
                <w:rFonts w:ascii="Cambria Math" w:hAnsi="Cambria Math"/>
                <w:sz w:val="20"/>
                <w:szCs w:val="20"/>
                <w:lang w:val="en-US"/>
              </w:rPr>
              <m:t>erf</m:t>
            </m:r>
          </m:fName>
          <m:e>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m:t>
                        </m:r>
                      </m:e>
                    </m:func>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r>
              <w:rPr>
                <w:rFonts w:ascii="Cambria Math" w:hAnsi="Cambria Math"/>
                <w:sz w:val="20"/>
                <w:szCs w:val="20"/>
                <w:lang w:val="en-US"/>
              </w:rPr>
              <m:t xml:space="preserve"> </m:t>
            </m:r>
          </m:e>
        </m:func>
      </m:oMath>
      <w:r w:rsidRPr="00264EF2">
        <w:rPr>
          <w:sz w:val="20"/>
          <w:szCs w:val="20"/>
          <w:lang w:val="en-US"/>
        </w:rPr>
        <w:t xml:space="preserve">– (-1) = 1 – </w:t>
      </w:r>
      <m:oMath>
        <m:func>
          <m:funcPr>
            <m:ctrlPr>
              <w:rPr>
                <w:rFonts w:ascii="Cambria Math" w:hAnsi="Cambria Math"/>
                <w:sz w:val="20"/>
                <w:szCs w:val="20"/>
                <w:lang w:val="en-US"/>
              </w:rPr>
            </m:ctrlPr>
          </m:funcPr>
          <m:fName>
            <m:r>
              <m:rPr>
                <m:sty m:val="p"/>
              </m:rPr>
              <w:rPr>
                <w:rFonts w:ascii="Cambria Math" w:hAnsi="Cambria Math"/>
                <w:sz w:val="20"/>
                <w:szCs w:val="20"/>
                <w:lang w:val="en-US"/>
              </w:rPr>
              <m:t>erf</m:t>
            </m:r>
          </m:fName>
          <m:e>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m:t>
                        </m:r>
                      </m:e>
                    </m:func>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e>
        </m:func>
        <m:r>
          <w:rPr>
            <w:rFonts w:ascii="Cambria Math" w:hAnsi="Cambria Math"/>
            <w:sz w:val="20"/>
            <w:szCs w:val="20"/>
            <w:lang w:val="en-US"/>
          </w:rPr>
          <m:t>,</m:t>
        </m:r>
      </m:oMath>
      <w:r w:rsidR="00901007">
        <w:rPr>
          <w:rFonts w:ascii="Times New Roman" w:hAnsi="Times New Roman"/>
          <w:szCs w:val="20"/>
          <w:lang w:val="en-US"/>
        </w:rPr>
        <w:t xml:space="preserve"> </w:t>
      </w:r>
      <w:r>
        <w:rPr>
          <w:lang w:val="en-US"/>
        </w:rPr>
        <w:t xml:space="preserve">implying that </w:t>
      </w:r>
      <m:oMath>
        <m:func>
          <m:funcPr>
            <m:ctrlPr>
              <w:rPr>
                <w:rFonts w:ascii="Cambria Math" w:hAnsi="Cambria Math"/>
                <w:sz w:val="20"/>
                <w:szCs w:val="20"/>
                <w:lang w:val="en-US"/>
              </w:rPr>
            </m:ctrlPr>
          </m:funcPr>
          <m:fName>
            <m:r>
              <m:rPr>
                <m:sty m:val="p"/>
              </m:rPr>
              <w:rPr>
                <w:rFonts w:ascii="Cambria Math" w:hAnsi="Cambria Math"/>
                <w:sz w:val="20"/>
                <w:szCs w:val="20"/>
                <w:lang w:val="en-US"/>
              </w:rPr>
              <m:t>erf</m:t>
            </m:r>
          </m:fName>
          <m:e>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-μ+</m:t>
                    </m:r>
                    <m:sSup>
                      <m:sSupPr>
                        <m:ctrlPr>
                          <w:rPr>
                            <w:rFonts w:ascii="Cambria Math" w:hAnsi="Cambria Math"/>
                            <w:i/>
                            <w:sz w:val="20"/>
                            <w:szCs w:val="20"/>
                            <w:lang w:val="en-US"/>
                          </w:rPr>
                        </m:ctrlPr>
                      </m:sSupPr>
                      <m:e>
                        <m:r>
                          <w:rPr>
                            <w:rFonts w:ascii="Cambria Math" w:hAnsi="Cambria Math"/>
                            <w:sz w:val="20"/>
                            <w:szCs w:val="20"/>
                            <w:lang w:val="en-US"/>
                          </w:rPr>
                          <m:t>σ</m:t>
                        </m:r>
                      </m:e>
                      <m:sup>
                        <m:r>
                          <w:rPr>
                            <w:rFonts w:ascii="Cambria Math" w:hAnsi="Cambria Math"/>
                            <w:sz w:val="20"/>
                            <w:szCs w:val="20"/>
                            <w:lang w:val="en-US"/>
                          </w:rPr>
                          <m:t>2</m:t>
                        </m:r>
                      </m:sup>
                    </m:sSup>
                    <m:r>
                      <w:rPr>
                        <w:rFonts w:ascii="Cambria Math" w:hAnsi="Cambria Math"/>
                        <w:sz w:val="20"/>
                        <w:szCs w:val="20"/>
                        <w:lang w:val="en-US"/>
                      </w:rPr>
                      <m:t>+</m:t>
                    </m:r>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r>
                          <w:rPr>
                            <w:rFonts w:ascii="Cambria Math" w:hAnsi="Cambria Math"/>
                            <w:sz w:val="20"/>
                            <w:szCs w:val="20"/>
                            <w:lang w:val="en-US"/>
                          </w:rPr>
                          <m:t>m</m:t>
                        </m:r>
                      </m:e>
                    </m:func>
                  </m:num>
                  <m:den>
                    <m:rad>
                      <m:radPr>
                        <m:degHide m:val="1"/>
                        <m:ctrlPr>
                          <w:rPr>
                            <w:rFonts w:ascii="Cambria Math" w:hAnsi="Cambria Math"/>
                            <w:i/>
                            <w:sz w:val="20"/>
                            <w:szCs w:val="20"/>
                            <w:lang w:val="en-US"/>
                          </w:rPr>
                        </m:ctrlPr>
                      </m:radPr>
                      <m:deg/>
                      <m:e>
                        <m:r>
                          <w:rPr>
                            <w:rFonts w:ascii="Cambria Math" w:hAnsi="Cambria Math"/>
                            <w:sz w:val="20"/>
                            <w:szCs w:val="20"/>
                            <w:lang w:val="en-US"/>
                          </w:rPr>
                          <m:t>2</m:t>
                        </m:r>
                      </m:e>
                    </m:rad>
                    <m:r>
                      <w:rPr>
                        <w:rFonts w:ascii="Cambria Math" w:hAnsi="Cambria Math"/>
                        <w:sz w:val="20"/>
                        <w:szCs w:val="20"/>
                        <w:lang w:val="en-US"/>
                      </w:rPr>
                      <m:t>σ</m:t>
                    </m:r>
                  </m:den>
                </m:f>
              </m:e>
            </m:d>
          </m:e>
        </m:func>
      </m:oMath>
      <w:r>
        <w:rPr>
          <w:szCs w:val="20"/>
          <w:lang w:val="en-US"/>
        </w:rPr>
        <w:t xml:space="preserve"> must be zero. Since erf is monotonously increasing and </w:t>
      </w:r>
      <w:proofErr w:type="gramStart"/>
      <w:r>
        <w:rPr>
          <w:szCs w:val="20"/>
          <w:lang w:val="en-US"/>
        </w:rPr>
        <w:t>erf(</w:t>
      </w:r>
      <w:proofErr w:type="gramEnd"/>
      <w:r>
        <w:rPr>
          <w:szCs w:val="20"/>
          <w:lang w:val="en-US"/>
        </w:rPr>
        <w:t xml:space="preserve">0) = 0, this imply that ln m = </w:t>
      </w:r>
      <m:oMath>
        <m:r>
          <w:rPr>
            <w:rFonts w:ascii="Cambria Math" w:hAnsi="Cambria Math"/>
            <w:szCs w:val="20"/>
            <w:lang w:val="en-US"/>
          </w:rPr>
          <m:t>μ-</m:t>
        </m:r>
        <m:sSup>
          <m:sSupPr>
            <m:ctrlPr>
              <w:rPr>
                <w:rFonts w:ascii="Cambria Math" w:hAnsi="Cambria Math"/>
                <w:i/>
                <w:szCs w:val="20"/>
                <w:lang w:val="en-US"/>
              </w:rPr>
            </m:ctrlPr>
          </m:sSupPr>
          <m:e>
            <m:r>
              <w:rPr>
                <w:rFonts w:ascii="Cambria Math" w:hAnsi="Cambria Math"/>
                <w:szCs w:val="20"/>
                <w:lang w:val="en-US"/>
              </w:rPr>
              <m:t>σ</m:t>
            </m:r>
          </m:e>
          <m:sup>
            <m:r>
              <w:rPr>
                <w:rFonts w:ascii="Cambria Math" w:hAnsi="Cambria Math"/>
                <w:szCs w:val="20"/>
                <w:lang w:val="en-US"/>
              </w:rPr>
              <m:t>2</m:t>
            </m:r>
          </m:sup>
        </m:sSup>
      </m:oMath>
      <w:r>
        <w:rPr>
          <w:szCs w:val="20"/>
          <w:lang w:val="en-US"/>
        </w:rPr>
        <w:t xml:space="preserve"> and thus m = </w:t>
      </w:r>
      <m:oMath>
        <m:func>
          <m:funcPr>
            <m:ctrlPr>
              <w:rPr>
                <w:rFonts w:ascii="Cambria Math" w:hAnsi="Cambria Math"/>
                <w:szCs w:val="20"/>
                <w:lang w:val="en-US"/>
              </w:rPr>
            </m:ctrlPr>
          </m:funcPr>
          <m:fName>
            <m:r>
              <m:rPr>
                <m:sty m:val="p"/>
              </m:rPr>
              <w:rPr>
                <w:rFonts w:ascii="Cambria Math" w:hAnsi="Cambria Math"/>
                <w:szCs w:val="20"/>
                <w:lang w:val="en-US"/>
              </w:rPr>
              <m:t>exp</m:t>
            </m:r>
          </m:fName>
          <m:e>
            <m:d>
              <m:dPr>
                <m:ctrlPr>
                  <w:rPr>
                    <w:rFonts w:ascii="Cambria Math" w:hAnsi="Cambria Math"/>
                    <w:i/>
                    <w:szCs w:val="20"/>
                    <w:lang w:val="en-US"/>
                  </w:rPr>
                </m:ctrlPr>
              </m:dPr>
              <m:e>
                <m:r>
                  <w:rPr>
                    <w:rFonts w:ascii="Cambria Math" w:hAnsi="Cambria Math"/>
                    <w:szCs w:val="20"/>
                    <w:lang w:val="en-US"/>
                  </w:rPr>
                  <m:t>μ-</m:t>
                </m:r>
                <m:sSup>
                  <m:sSupPr>
                    <m:ctrlPr>
                      <w:rPr>
                        <w:rFonts w:ascii="Cambria Math" w:hAnsi="Cambria Math"/>
                        <w:i/>
                        <w:szCs w:val="20"/>
                        <w:lang w:val="en-US"/>
                      </w:rPr>
                    </m:ctrlPr>
                  </m:sSupPr>
                  <m:e>
                    <m:r>
                      <w:rPr>
                        <w:rFonts w:ascii="Cambria Math" w:hAnsi="Cambria Math"/>
                        <w:szCs w:val="20"/>
                        <w:lang w:val="en-US"/>
                      </w:rPr>
                      <m:t>σ</m:t>
                    </m:r>
                  </m:e>
                  <m:sup>
                    <m:r>
                      <w:rPr>
                        <w:rFonts w:ascii="Cambria Math" w:hAnsi="Cambria Math"/>
                        <w:szCs w:val="20"/>
                        <w:lang w:val="en-US"/>
                      </w:rPr>
                      <m:t>2</m:t>
                    </m:r>
                  </m:sup>
                </m:sSup>
              </m:e>
            </m:d>
            <m:r>
              <w:rPr>
                <w:rFonts w:ascii="Cambria Math" w:hAnsi="Cambria Math"/>
                <w:szCs w:val="20"/>
                <w:lang w:val="en-US"/>
              </w:rPr>
              <m:t>,</m:t>
            </m:r>
          </m:e>
        </m:func>
        <m:r>
          <w:rPr>
            <w:rFonts w:ascii="Cambria Math" w:hAnsi="Cambria Math"/>
            <w:szCs w:val="20"/>
            <w:lang w:val="en-US"/>
          </w:rPr>
          <m:t xml:space="preserve"> </m:t>
        </m:r>
      </m:oMath>
      <w:r>
        <w:rPr>
          <w:lang w:val="en-US"/>
        </w:rPr>
        <w:t xml:space="preserve">which </w:t>
      </w:r>
      <w:r w:rsidR="00E54058">
        <w:rPr>
          <w:lang w:val="en-US"/>
        </w:rPr>
        <w:t xml:space="preserve">corresponds to </w:t>
      </w:r>
      <w:r>
        <w:rPr>
          <w:lang w:val="en-US"/>
        </w:rPr>
        <w:t xml:space="preserve">the mode of the lognormal </w:t>
      </w:r>
      <w:r w:rsidRPr="005E5E55">
        <w:rPr>
          <w:i/>
          <w:iCs/>
          <w:lang w:val="en-US"/>
        </w:rPr>
        <w:t>f</w:t>
      </w:r>
      <w:r>
        <w:rPr>
          <w:lang w:val="en-US"/>
        </w:rPr>
        <w:t>.</w:t>
      </w:r>
      <w:r w:rsidR="00E54058">
        <w:rPr>
          <w:rFonts w:eastAsiaTheme="minorEastAsia"/>
          <w:szCs w:val="20"/>
          <w:lang w:val="en-US"/>
        </w:rPr>
        <w:t xml:space="preserve"> </w:t>
      </w:r>
      <w:r w:rsidR="00366072" w:rsidRPr="006A3DE8">
        <w:rPr>
          <w:szCs w:val="20"/>
          <w:lang w:val="en-US"/>
        </w:rPr>
        <w:t>Due to</w:t>
      </w:r>
      <w:r w:rsidR="00FF3CB8" w:rsidRPr="006A3DE8">
        <w:rPr>
          <w:szCs w:val="20"/>
          <w:lang w:val="en-US"/>
        </w:rPr>
        <w:t xml:space="preserve"> the linearity of the expected values</w:t>
      </w:r>
      <w:r w:rsidR="007E0322" w:rsidRPr="006A3DE8">
        <w:rPr>
          <w:szCs w:val="20"/>
          <w:lang w:val="en-US"/>
        </w:rPr>
        <w:t>,</w:t>
      </w:r>
      <w:r w:rsidR="00FF3CB8" w:rsidRPr="006A3DE8">
        <w:rPr>
          <w:szCs w:val="20"/>
          <w:lang w:val="en-US"/>
        </w:rPr>
        <w:t xml:space="preserve"> </w:t>
      </w:r>
      <w:r w:rsidR="007E0322" w:rsidRPr="006A3DE8">
        <w:rPr>
          <w:szCs w:val="20"/>
          <w:lang w:val="en-US"/>
        </w:rPr>
        <w:t xml:space="preserve">the mode </w:t>
      </w:r>
      <w:r w:rsidR="00366072" w:rsidRPr="006A3DE8">
        <w:rPr>
          <w:szCs w:val="20"/>
          <w:lang w:val="en-US"/>
        </w:rPr>
        <w:t xml:space="preserve">will </w:t>
      </w:r>
      <w:r w:rsidR="00FF3CB8" w:rsidRPr="006A3DE8">
        <w:rPr>
          <w:szCs w:val="20"/>
          <w:lang w:val="en-US"/>
        </w:rPr>
        <w:t xml:space="preserve">also </w:t>
      </w:r>
      <w:r w:rsidR="00366072" w:rsidRPr="006A3DE8">
        <w:rPr>
          <w:szCs w:val="20"/>
          <w:lang w:val="en-US"/>
        </w:rPr>
        <w:t xml:space="preserve">minimize </w:t>
      </w:r>
      <w:r w:rsidR="00FF3CB8" w:rsidRPr="006A3DE8">
        <w:rPr>
          <w:szCs w:val="20"/>
          <w:lang w:val="en-US"/>
        </w:rPr>
        <w:t xml:space="preserve">the </w:t>
      </w:r>
      <w:r w:rsidR="00366072" w:rsidRPr="006A3DE8">
        <w:rPr>
          <w:szCs w:val="20"/>
          <w:lang w:val="en-US"/>
        </w:rPr>
        <w:t xml:space="preserve">expected value of </w:t>
      </w:r>
      <w:r w:rsidR="00CC535F" w:rsidRPr="006A3DE8">
        <w:rPr>
          <w:szCs w:val="20"/>
          <w:lang w:val="en-US"/>
        </w:rPr>
        <w:t>MMRE</w:t>
      </w:r>
      <w:r w:rsidR="00825B20" w:rsidRPr="006A3DE8">
        <w:rPr>
          <w:szCs w:val="20"/>
          <w:lang w:val="en-US"/>
        </w:rPr>
        <w:t>.</w:t>
      </w:r>
      <w:r w:rsidR="001A220A" w:rsidRPr="006A3DE8">
        <w:rPr>
          <w:szCs w:val="20"/>
          <w:lang w:val="en-US"/>
        </w:rPr>
        <w:t xml:space="preserve"> </w:t>
      </w:r>
    </w:p>
    <w:p w14:paraId="7A7EB7CA" w14:textId="7BAE6358" w:rsidR="008E73D4" w:rsidRPr="00066EE6" w:rsidRDefault="00633A17" w:rsidP="00062DAA">
      <w:pPr>
        <w:rPr>
          <w:szCs w:val="20"/>
          <w:lang w:val="en-US"/>
        </w:rPr>
      </w:pPr>
      <w:r>
        <w:rPr>
          <w:lang w:val="en-US"/>
        </w:rPr>
        <w:t xml:space="preserve">In spite of the widespread use of MMRE (MAPE) we are unaware of any prior research pointing out this property, which in many real-world contexts may be central for </w:t>
      </w:r>
      <w:r w:rsidR="000C523D">
        <w:rPr>
          <w:lang w:val="en-US"/>
        </w:rPr>
        <w:t>proper</w:t>
      </w:r>
      <w:r>
        <w:rPr>
          <w:lang w:val="en-US"/>
        </w:rPr>
        <w:t xml:space="preserve"> measur</w:t>
      </w:r>
      <w:r w:rsidR="009519E9">
        <w:rPr>
          <w:lang w:val="en-US"/>
        </w:rPr>
        <w:t>ement</w:t>
      </w:r>
      <w:r w:rsidR="000C523D">
        <w:rPr>
          <w:lang w:val="en-US"/>
        </w:rPr>
        <w:t xml:space="preserve"> of estimation error</w:t>
      </w:r>
      <w:r>
        <w:rPr>
          <w:lang w:val="en-US"/>
        </w:rPr>
        <w:t>.</w:t>
      </w:r>
    </w:p>
    <w:p w14:paraId="0E533BC1" w14:textId="3826D471" w:rsidR="00FE127A" w:rsidRDefault="00215970" w:rsidP="00FE127A">
      <w:pPr>
        <w:rPr>
          <w:szCs w:val="20"/>
          <w:lang w:val="en-US"/>
        </w:rPr>
      </w:pPr>
      <w:r w:rsidRPr="006A3DE8">
        <w:rPr>
          <w:szCs w:val="20"/>
          <w:lang w:val="en-US"/>
        </w:rPr>
        <w:t>K</w:t>
      </w:r>
      <w:r w:rsidR="00D94FCB" w:rsidRPr="006A3DE8">
        <w:rPr>
          <w:szCs w:val="20"/>
          <w:lang w:val="en-US"/>
        </w:rPr>
        <w:t xml:space="preserve">nowing that the mode </w:t>
      </w:r>
      <w:r w:rsidR="00FF3CB8" w:rsidRPr="006A3DE8">
        <w:rPr>
          <w:szCs w:val="20"/>
          <w:lang w:val="en-US"/>
        </w:rPr>
        <w:t xml:space="preserve">values </w:t>
      </w:r>
      <w:r w:rsidR="00D94FCB" w:rsidRPr="006A3DE8">
        <w:rPr>
          <w:szCs w:val="20"/>
          <w:lang w:val="en-US"/>
        </w:rPr>
        <w:t xml:space="preserve">of </w:t>
      </w:r>
      <w:r w:rsidR="00FF3CB8" w:rsidRPr="006A3DE8">
        <w:rPr>
          <w:szCs w:val="20"/>
          <w:lang w:val="en-US"/>
        </w:rPr>
        <w:t>the</w:t>
      </w:r>
      <w:r w:rsidR="00D94FCB" w:rsidRPr="006A3DE8">
        <w:rPr>
          <w:szCs w:val="20"/>
          <w:lang w:val="en-US"/>
        </w:rPr>
        <w:t xml:space="preserve"> lognormal distribution</w:t>
      </w:r>
      <w:r w:rsidR="00FF3CB8" w:rsidRPr="006A3DE8">
        <w:rPr>
          <w:szCs w:val="20"/>
          <w:lang w:val="en-US"/>
        </w:rPr>
        <w:t>s</w:t>
      </w:r>
      <w:r w:rsidR="00D94FCB" w:rsidRPr="006A3DE8">
        <w:rPr>
          <w:szCs w:val="20"/>
          <w:lang w:val="en-US"/>
        </w:rPr>
        <w:t xml:space="preserve"> </w:t>
      </w:r>
      <w:r w:rsidR="007E1FD8">
        <w:rPr>
          <w:szCs w:val="20"/>
          <w:lang w:val="en-US"/>
        </w:rPr>
        <w:t>are</w:t>
      </w:r>
      <w:r w:rsidR="00984A14" w:rsidRPr="006A3DE8">
        <w:rPr>
          <w:szCs w:val="20"/>
          <w:lang w:val="en-US"/>
        </w:rPr>
        <w:t xml:space="preserve"> lower than the median and mean</w:t>
      </w:r>
      <w:r w:rsidR="007E1FD8">
        <w:rPr>
          <w:szCs w:val="20"/>
          <w:lang w:val="en-US"/>
        </w:rPr>
        <w:t xml:space="preserve"> values</w:t>
      </w:r>
      <w:r w:rsidR="00984A14" w:rsidRPr="006A3DE8">
        <w:rPr>
          <w:szCs w:val="20"/>
          <w:lang w:val="en-US"/>
        </w:rPr>
        <w:t>,</w:t>
      </w:r>
      <w:r w:rsidR="00D94FCB" w:rsidRPr="006A3DE8">
        <w:rPr>
          <w:szCs w:val="20"/>
          <w:lang w:val="en-US"/>
        </w:rPr>
        <w:t xml:space="preserve"> we also know that</w:t>
      </w:r>
      <w:r w:rsidR="009340F7" w:rsidRPr="006A3DE8">
        <w:rPr>
          <w:szCs w:val="20"/>
          <w:lang w:val="en-US"/>
        </w:rPr>
        <w:t xml:space="preserve"> evaluating estimates of the median and mean </w:t>
      </w:r>
      <w:r w:rsidR="00216CE2" w:rsidRPr="006A3DE8">
        <w:rPr>
          <w:szCs w:val="20"/>
          <w:lang w:val="en-US"/>
        </w:rPr>
        <w:t xml:space="preserve">effort </w:t>
      </w:r>
      <w:r w:rsidR="008E73D4" w:rsidRPr="006A3DE8">
        <w:rPr>
          <w:szCs w:val="20"/>
          <w:lang w:val="en-US"/>
        </w:rPr>
        <w:t xml:space="preserve">using MMRE </w:t>
      </w:r>
      <w:r w:rsidR="009340F7" w:rsidRPr="006A3DE8">
        <w:rPr>
          <w:szCs w:val="20"/>
          <w:lang w:val="en-US"/>
        </w:rPr>
        <w:t xml:space="preserve">will not be fair. Instead of rewarding accurate estimates of the median or the mode, </w:t>
      </w:r>
      <w:r w:rsidR="003D2F79" w:rsidRPr="006A3DE8">
        <w:rPr>
          <w:szCs w:val="20"/>
          <w:lang w:val="en-US"/>
        </w:rPr>
        <w:t>MMRE</w:t>
      </w:r>
      <w:r w:rsidR="009340F7" w:rsidRPr="006A3DE8">
        <w:rPr>
          <w:szCs w:val="20"/>
          <w:lang w:val="en-US"/>
        </w:rPr>
        <w:t xml:space="preserve"> will reward</w:t>
      </w:r>
      <w:r w:rsidR="007E1FD8">
        <w:rPr>
          <w:szCs w:val="20"/>
          <w:lang w:val="en-US"/>
        </w:rPr>
        <w:t xml:space="preserve"> the</w:t>
      </w:r>
      <w:r w:rsidR="009340F7" w:rsidRPr="006A3DE8">
        <w:rPr>
          <w:szCs w:val="20"/>
          <w:lang w:val="en-US"/>
        </w:rPr>
        <w:t xml:space="preserve"> under-estimation</w:t>
      </w:r>
      <w:r w:rsidR="008D63C0">
        <w:rPr>
          <w:szCs w:val="20"/>
          <w:lang w:val="en-US"/>
        </w:rPr>
        <w:t xml:space="preserve"> of these types of estimates</w:t>
      </w:r>
      <w:r w:rsidR="007316E8" w:rsidRPr="006A3DE8">
        <w:rPr>
          <w:szCs w:val="20"/>
          <w:lang w:val="en-US"/>
        </w:rPr>
        <w:t>, as pointed out in previous</w:t>
      </w:r>
      <w:r w:rsidR="00356EE5" w:rsidRPr="006A3DE8">
        <w:rPr>
          <w:szCs w:val="20"/>
          <w:lang w:val="en-US"/>
        </w:rPr>
        <w:t>,</w:t>
      </w:r>
      <w:r w:rsidR="007316E8" w:rsidRPr="006A3DE8">
        <w:rPr>
          <w:szCs w:val="20"/>
          <w:lang w:val="en-US"/>
        </w:rPr>
        <w:t xml:space="preserve"> </w:t>
      </w:r>
      <w:r w:rsidR="00BD7E45" w:rsidRPr="006A3DE8">
        <w:rPr>
          <w:szCs w:val="20"/>
          <w:lang w:val="en-US"/>
        </w:rPr>
        <w:t>simulation-based research</w:t>
      </w:r>
      <w:r w:rsidR="007316E8" w:rsidRPr="006A3DE8">
        <w:rPr>
          <w:szCs w:val="20"/>
          <w:lang w:val="en-US"/>
        </w:rPr>
        <w:t xml:space="preserve"> </w:t>
      </w:r>
      <w:r w:rsidR="00BD7E45" w:rsidRPr="006A3DE8">
        <w:rPr>
          <w:szCs w:val="20"/>
          <w:lang w:val="en-US"/>
        </w:rPr>
        <w:fldChar w:fldCharType="begin"/>
      </w:r>
      <w:r w:rsidR="007E1FD8">
        <w:rPr>
          <w:szCs w:val="20"/>
          <w:lang w:val="en-US"/>
        </w:rPr>
        <w:instrText xml:space="preserve"> ADDIN EN.CITE &lt;EndNote&gt;&lt;Cite&gt;&lt;Author&gt;Foss&lt;/Author&gt;&lt;Year&gt;2003&lt;/Year&gt;&lt;RecNum&gt;4&lt;/RecNum&gt;&lt;DisplayText&gt;[7]&lt;/DisplayText&gt;&lt;record&gt;&lt;rec-number&gt;4&lt;/rec-number&gt;&lt;foreign-keys&gt;&lt;key app="EN" db-id="rwddpazvrv5vx1e095w520dt02p2fv20sdaz" timestamp="1582624401"&gt;4&lt;/key&gt;&lt;/foreign-keys&gt;&lt;ref-type name="Journal Article"&gt;17&lt;/ref-type&gt;&lt;contributors&gt;&lt;authors&gt;&lt;author&gt;Foss, Tron&lt;/author&gt;&lt;author&gt;Stensrud, Erik&lt;/author&gt;&lt;author&gt;Kitchenham, Barbara&lt;/author&gt;&lt;author&gt;Myrtveit, Ingunn&lt;/author&gt;&lt;/authors&gt;&lt;/contributors&gt;&lt;titles&gt;&lt;title&gt;A simulation study of the model evaluation criterion MMRE&lt;/title&gt;&lt;secondary-title&gt;IEEE transactions on software engineering&lt;/secondary-title&gt;&lt;/titles&gt;&lt;periodical&gt;&lt;full-title&gt;Ieee Transactions on Software Engineering&lt;/full-title&gt;&lt;abbr-1&gt;Ieee T Software Eng&lt;/abbr-1&gt;&lt;/periodical&gt;&lt;pages&gt;985-995&lt;/pages&gt;&lt;volume&gt;29&lt;/volume&gt;&lt;number&gt;11&lt;/number&gt;&lt;dates&gt;&lt;year&gt;2003&lt;/year&gt;&lt;/dates&gt;&lt;isbn&gt;0098-5589&lt;/isbn&gt;&lt;urls&gt;&lt;/urls&gt;&lt;/record&gt;&lt;/Cite&gt;&lt;/EndNote&gt;</w:instrText>
      </w:r>
      <w:r w:rsidR="00BD7E45" w:rsidRPr="006A3DE8">
        <w:rPr>
          <w:szCs w:val="20"/>
          <w:lang w:val="en-US"/>
        </w:rPr>
        <w:fldChar w:fldCharType="separate"/>
      </w:r>
      <w:r w:rsidR="007E1FD8">
        <w:rPr>
          <w:noProof/>
          <w:szCs w:val="20"/>
          <w:lang w:val="en-US"/>
        </w:rPr>
        <w:t>[7]</w:t>
      </w:r>
      <w:r w:rsidR="00BD7E45" w:rsidRPr="006A3DE8">
        <w:rPr>
          <w:szCs w:val="20"/>
          <w:lang w:val="en-US"/>
        </w:rPr>
        <w:fldChar w:fldCharType="end"/>
      </w:r>
      <w:r w:rsidR="007316E8" w:rsidRPr="006A3DE8">
        <w:rPr>
          <w:szCs w:val="20"/>
          <w:lang w:val="en-US"/>
        </w:rPr>
        <w:t>.</w:t>
      </w:r>
      <w:r w:rsidR="00844941">
        <w:rPr>
          <w:szCs w:val="20"/>
          <w:lang w:val="en-US"/>
        </w:rPr>
        <w:t xml:space="preserve"> </w:t>
      </w:r>
      <w:r w:rsidR="00240F5A">
        <w:rPr>
          <w:szCs w:val="20"/>
          <w:lang w:val="en-US"/>
        </w:rPr>
        <w:t>For strongly right-skewed effort distributions the MMRE-minimizing effort estimates, which in the case of log-normal distributions is the mode, may be substantially lower than the median and the mean effort</w:t>
      </w:r>
      <w:r w:rsidR="00FE127A">
        <w:rPr>
          <w:rStyle w:val="FootnoteReference"/>
          <w:szCs w:val="20"/>
          <w:lang w:val="en-US"/>
        </w:rPr>
        <w:footnoteReference w:id="1"/>
      </w:r>
      <w:r w:rsidR="00240F5A">
        <w:rPr>
          <w:szCs w:val="20"/>
          <w:lang w:val="en-US"/>
        </w:rPr>
        <w:t>.</w:t>
      </w:r>
    </w:p>
    <w:p w14:paraId="6070212E" w14:textId="66E97C1D" w:rsidR="00125F88" w:rsidRPr="00D24372" w:rsidRDefault="009F2A7F" w:rsidP="006E3805">
      <w:pPr>
        <w:pStyle w:val="Heading1"/>
        <w:numPr>
          <w:ilvl w:val="0"/>
          <w:numId w:val="15"/>
        </w:numPr>
        <w:rPr>
          <w:sz w:val="24"/>
          <w:szCs w:val="24"/>
          <w:lang w:val="en-US"/>
        </w:rPr>
      </w:pPr>
      <w:r>
        <w:rPr>
          <w:sz w:val="24"/>
          <w:szCs w:val="24"/>
          <w:lang w:val="en-US"/>
        </w:rPr>
        <w:t>Ill</w:t>
      </w:r>
      <w:r w:rsidR="00385D09" w:rsidRPr="00D24372">
        <w:rPr>
          <w:sz w:val="24"/>
          <w:szCs w:val="24"/>
          <w:lang w:val="en-US"/>
        </w:rPr>
        <w:t>ustrating</w:t>
      </w:r>
      <w:r w:rsidR="004004D0" w:rsidRPr="00D24372">
        <w:rPr>
          <w:sz w:val="24"/>
          <w:szCs w:val="24"/>
          <w:lang w:val="en-US"/>
        </w:rPr>
        <w:t xml:space="preserve"> the relevance on real-world software development effort data</w:t>
      </w:r>
    </w:p>
    <w:p w14:paraId="4B01EA6F" w14:textId="0C309DF9" w:rsidR="00F0586F" w:rsidRDefault="00717EF5" w:rsidP="00BE0CC6">
      <w:pPr>
        <w:rPr>
          <w:szCs w:val="20"/>
          <w:lang w:val="en-US"/>
        </w:rPr>
      </w:pPr>
      <w:r w:rsidRPr="006A3DE8">
        <w:rPr>
          <w:szCs w:val="20"/>
          <w:lang w:val="en-US"/>
        </w:rPr>
        <w:t xml:space="preserve">As part of the </w:t>
      </w:r>
      <w:r w:rsidR="00C31DB0" w:rsidRPr="006A3DE8">
        <w:rPr>
          <w:szCs w:val="20"/>
          <w:lang w:val="en-US"/>
        </w:rPr>
        <w:t>study presented in</w:t>
      </w:r>
      <w:r w:rsidR="00A4638E" w:rsidRPr="006A3DE8">
        <w:rPr>
          <w:szCs w:val="20"/>
          <w:lang w:val="en-US"/>
        </w:rPr>
        <w:t xml:space="preserve"> </w:t>
      </w:r>
      <w:r w:rsidR="00A4638E" w:rsidRPr="006A3DE8">
        <w:rPr>
          <w:szCs w:val="20"/>
          <w:lang w:val="en-US"/>
        </w:rPr>
        <w:fldChar w:fldCharType="begin"/>
      </w:r>
      <w:r w:rsidR="007E1FD8">
        <w:rPr>
          <w:szCs w:val="20"/>
          <w:lang w:val="en-US"/>
        </w:rPr>
        <w:instrText xml:space="preserve"> ADDIN EN.CITE &lt;EndNote&gt;&lt;Cite&gt;&lt;Author&gt;Jørgensen&lt;/Author&gt;&lt;Year&gt;2009&lt;/Year&gt;&lt;RecNum&gt;25&lt;/RecNum&gt;&lt;DisplayText&gt;[8]&lt;/DisplayText&gt;&lt;record&gt;&lt;rec-number&gt;25&lt;/rec-number&gt;&lt;foreign-keys&gt;&lt;key app="EN" db-id="rwddpazvrv5vx1e095w520dt02p2fv20sdaz" timestamp="1583671956"&gt;25&lt;/key&gt;&lt;/foreign-keys&gt;&lt;ref-type name="Journal Article"&gt;17&lt;/ref-type&gt;&lt;contributors&gt;&lt;authors&gt;&lt;author&gt;Jørgensen, Magne&lt;/author&gt;&lt;author&gt;Gruschke, Tanja M&lt;/author&gt;&lt;/authors&gt;&lt;/contributors&gt;&lt;titles&gt;&lt;title&gt;The impact of lessons-learned sessions on effort estimation and uncertainty assessments&lt;/title&gt;&lt;secondary-title&gt;IEEE Transactions on Software Engineering&lt;/secondary-title&gt;&lt;/titles&gt;&lt;periodical&gt;&lt;full-title&gt;Ieee Transactions on Software Engineering&lt;/full-title&gt;&lt;abbr-1&gt;Ieee T Software Eng&lt;/abbr-1&gt;&lt;/periodical&gt;&lt;pages&gt;368-383&lt;/pages&gt;&lt;volume&gt;35&lt;/volume&gt;&lt;number&gt;3&lt;/number&gt;&lt;dates&gt;&lt;year&gt;2009&lt;/year&gt;&lt;/dates&gt;&lt;isbn&gt;0098-5589&lt;/isbn&gt;&lt;urls&gt;&lt;/urls&gt;&lt;/record&gt;&lt;/Cite&gt;&lt;/EndNote&gt;</w:instrText>
      </w:r>
      <w:r w:rsidR="00A4638E" w:rsidRPr="006A3DE8">
        <w:rPr>
          <w:szCs w:val="20"/>
          <w:lang w:val="en-US"/>
        </w:rPr>
        <w:fldChar w:fldCharType="separate"/>
      </w:r>
      <w:r w:rsidR="007E1FD8">
        <w:rPr>
          <w:noProof/>
          <w:szCs w:val="20"/>
          <w:lang w:val="en-US"/>
        </w:rPr>
        <w:t>[8]</w:t>
      </w:r>
      <w:r w:rsidR="00A4638E" w:rsidRPr="006A3DE8">
        <w:rPr>
          <w:szCs w:val="20"/>
          <w:lang w:val="en-US"/>
        </w:rPr>
        <w:fldChar w:fldCharType="end"/>
      </w:r>
      <w:r w:rsidR="00A4047E">
        <w:rPr>
          <w:szCs w:val="20"/>
          <w:lang w:val="en-US"/>
        </w:rPr>
        <w:t>,</w:t>
      </w:r>
      <w:r w:rsidRPr="006A3DE8">
        <w:rPr>
          <w:szCs w:val="20"/>
          <w:lang w:val="en-US"/>
        </w:rPr>
        <w:t xml:space="preserve"> we collected the effort spent by </w:t>
      </w:r>
      <w:r w:rsidR="00A4047E">
        <w:rPr>
          <w:szCs w:val="20"/>
          <w:lang w:val="en-US"/>
        </w:rPr>
        <w:t>twenty</w:t>
      </w:r>
      <w:r w:rsidR="00F45AA2" w:rsidRPr="006A3DE8">
        <w:rPr>
          <w:szCs w:val="20"/>
          <w:lang w:val="en-US"/>
        </w:rPr>
        <w:t xml:space="preserve"> developers solv</w:t>
      </w:r>
      <w:r w:rsidRPr="006A3DE8">
        <w:rPr>
          <w:szCs w:val="20"/>
          <w:lang w:val="en-US"/>
        </w:rPr>
        <w:t xml:space="preserve">ing </w:t>
      </w:r>
      <w:r w:rsidR="00F45AA2" w:rsidRPr="006A3DE8">
        <w:rPr>
          <w:szCs w:val="20"/>
          <w:lang w:val="en-US"/>
        </w:rPr>
        <w:t xml:space="preserve">the same </w:t>
      </w:r>
      <w:r w:rsidR="00A4047E">
        <w:rPr>
          <w:szCs w:val="20"/>
          <w:lang w:val="en-US"/>
        </w:rPr>
        <w:t>five</w:t>
      </w:r>
      <w:r w:rsidR="00F45AA2" w:rsidRPr="006A3DE8">
        <w:rPr>
          <w:szCs w:val="20"/>
          <w:lang w:val="en-US"/>
        </w:rPr>
        <w:t xml:space="preserve"> tasks. </w:t>
      </w:r>
      <w:r w:rsidR="00EC6721" w:rsidRPr="006A3DE8">
        <w:rPr>
          <w:szCs w:val="20"/>
          <w:lang w:val="en-US"/>
        </w:rPr>
        <w:t xml:space="preserve">Figure </w:t>
      </w:r>
      <w:r w:rsidR="00247224" w:rsidRPr="006A3DE8">
        <w:rPr>
          <w:szCs w:val="20"/>
          <w:lang w:val="en-US"/>
        </w:rPr>
        <w:t>1</w:t>
      </w:r>
      <w:r w:rsidR="00EC6721" w:rsidRPr="006A3DE8">
        <w:rPr>
          <w:szCs w:val="20"/>
          <w:lang w:val="en-US"/>
        </w:rPr>
        <w:t xml:space="preserve"> shows </w:t>
      </w:r>
      <w:r w:rsidR="00751AD6" w:rsidRPr="006A3DE8">
        <w:rPr>
          <w:szCs w:val="20"/>
          <w:lang w:val="en-US"/>
        </w:rPr>
        <w:t xml:space="preserve">a histogram of </w:t>
      </w:r>
      <w:r w:rsidR="00EC6721" w:rsidRPr="006A3DE8">
        <w:rPr>
          <w:szCs w:val="20"/>
          <w:lang w:val="en-US"/>
        </w:rPr>
        <w:t>the distribution</w:t>
      </w:r>
      <w:r w:rsidR="00E56170" w:rsidRPr="006A3DE8">
        <w:rPr>
          <w:szCs w:val="20"/>
          <w:lang w:val="en-US"/>
        </w:rPr>
        <w:t>s</w:t>
      </w:r>
      <w:r w:rsidR="00EC6721" w:rsidRPr="006A3DE8">
        <w:rPr>
          <w:szCs w:val="20"/>
          <w:lang w:val="en-US"/>
        </w:rPr>
        <w:t xml:space="preserve"> of effort, with a lognormal distribution fitted to the </w:t>
      </w:r>
      <w:r w:rsidR="00E3400C" w:rsidRPr="006A3DE8">
        <w:rPr>
          <w:szCs w:val="20"/>
          <w:lang w:val="en-US"/>
        </w:rPr>
        <w:t xml:space="preserve">effort </w:t>
      </w:r>
      <w:r w:rsidR="00EC6721" w:rsidRPr="006A3DE8">
        <w:rPr>
          <w:szCs w:val="20"/>
          <w:lang w:val="en-US"/>
        </w:rPr>
        <w:t>data</w:t>
      </w:r>
      <w:r w:rsidR="00860ECE" w:rsidRPr="006A3DE8">
        <w:rPr>
          <w:szCs w:val="20"/>
          <w:lang w:val="en-US"/>
        </w:rPr>
        <w:t xml:space="preserve"> (numbers in minutes)</w:t>
      </w:r>
      <w:r w:rsidR="00EC6721" w:rsidRPr="006A3DE8">
        <w:rPr>
          <w:szCs w:val="20"/>
          <w:lang w:val="en-US"/>
        </w:rPr>
        <w:t>.</w:t>
      </w:r>
      <w:r w:rsidR="0088095A" w:rsidRPr="006A3DE8">
        <w:rPr>
          <w:szCs w:val="20"/>
          <w:lang w:val="en-US"/>
        </w:rPr>
        <w:t xml:space="preserve"> </w:t>
      </w:r>
    </w:p>
    <w:p w14:paraId="487A52CA" w14:textId="77777777" w:rsidR="00B779FD" w:rsidRDefault="00F0586F" w:rsidP="00F9044E">
      <w:pPr>
        <w:rPr>
          <w:szCs w:val="20"/>
          <w:lang w:val="en-US"/>
        </w:rPr>
      </w:pPr>
      <w:r>
        <w:rPr>
          <w:szCs w:val="20"/>
          <w:lang w:val="en-US"/>
        </w:rPr>
        <w:t xml:space="preserve">We use this data to simulate a situation where estimates for five different tasks are required, but the tasks have not yet been assigned to a specific developer. We assume that the estimator has access to historical data for each task, as presented in Figure 1, and that these data properly reflect future software development effort for similar tasks in this company. </w:t>
      </w:r>
      <w:r w:rsidR="005E6C32">
        <w:rPr>
          <w:szCs w:val="20"/>
          <w:lang w:val="en-US"/>
        </w:rPr>
        <w:t xml:space="preserve">Given the historical data, what </w:t>
      </w:r>
      <w:r w:rsidR="009F1132">
        <w:rPr>
          <w:szCs w:val="20"/>
          <w:lang w:val="en-US"/>
        </w:rPr>
        <w:t xml:space="preserve">should be </w:t>
      </w:r>
      <w:r w:rsidR="001A7971">
        <w:rPr>
          <w:szCs w:val="20"/>
          <w:lang w:val="en-US"/>
        </w:rPr>
        <w:t>stated as the intended type of</w:t>
      </w:r>
      <w:r w:rsidR="009F1132">
        <w:rPr>
          <w:szCs w:val="20"/>
          <w:lang w:val="en-US"/>
        </w:rPr>
        <w:t xml:space="preserve"> estimate when </w:t>
      </w:r>
      <w:r w:rsidR="00117C5C">
        <w:rPr>
          <w:szCs w:val="20"/>
          <w:lang w:val="en-US"/>
        </w:rPr>
        <w:t>evaluated by the MMRE? What about other estimates and error measures?</w:t>
      </w:r>
      <w:r>
        <w:rPr>
          <w:szCs w:val="20"/>
          <w:lang w:val="en-US"/>
        </w:rPr>
        <w:t xml:space="preserve"> </w:t>
      </w:r>
    </w:p>
    <w:p w14:paraId="6F22290A" w14:textId="332B71FF" w:rsidR="00EC6721" w:rsidRDefault="00F0586F" w:rsidP="00F9044E">
      <w:pPr>
        <w:rPr>
          <w:szCs w:val="20"/>
          <w:lang w:val="en-US"/>
        </w:rPr>
      </w:pPr>
      <w:r>
        <w:rPr>
          <w:szCs w:val="20"/>
          <w:lang w:val="en-US"/>
        </w:rPr>
        <w:t xml:space="preserve">In Table 1, we illustrate the principle of matching the type of estimate to the error measure, and </w:t>
      </w:r>
      <w:r w:rsidR="00B779FD">
        <w:rPr>
          <w:szCs w:val="20"/>
          <w:lang w:val="en-US"/>
        </w:rPr>
        <w:t>demonstrate</w:t>
      </w:r>
      <w:r>
        <w:rPr>
          <w:szCs w:val="20"/>
          <w:lang w:val="en-US"/>
        </w:rPr>
        <w:t xml:space="preserve"> that the MMRE can be a </w:t>
      </w:r>
      <w:r w:rsidR="00264EF2">
        <w:rPr>
          <w:szCs w:val="20"/>
          <w:lang w:val="en-US"/>
        </w:rPr>
        <w:t>reasonable</w:t>
      </w:r>
      <w:r>
        <w:rPr>
          <w:szCs w:val="20"/>
          <w:lang w:val="en-US"/>
        </w:rPr>
        <w:t xml:space="preserve"> </w:t>
      </w:r>
      <w:r w:rsidR="00635792">
        <w:rPr>
          <w:szCs w:val="20"/>
          <w:lang w:val="en-US"/>
        </w:rPr>
        <w:t>error measures</w:t>
      </w:r>
      <w:r>
        <w:rPr>
          <w:szCs w:val="20"/>
          <w:lang w:val="en-US"/>
        </w:rPr>
        <w:t xml:space="preserve"> when </w:t>
      </w:r>
      <w:r>
        <w:rPr>
          <w:szCs w:val="20"/>
          <w:lang w:val="en-US"/>
        </w:rPr>
        <w:lastRenderedPageBreak/>
        <w:t>estimates are intended to reflect the mode of the outcome distribution</w:t>
      </w:r>
      <w:r w:rsidR="007A47A5">
        <w:rPr>
          <w:szCs w:val="20"/>
          <w:lang w:val="en-US"/>
        </w:rPr>
        <w:t xml:space="preserve">, </w:t>
      </w:r>
      <w:r>
        <w:rPr>
          <w:szCs w:val="20"/>
          <w:lang w:val="en-US"/>
        </w:rPr>
        <w:t xml:space="preserve">given that the </w:t>
      </w:r>
      <w:r w:rsidR="00634FBC">
        <w:rPr>
          <w:szCs w:val="20"/>
          <w:lang w:val="en-US"/>
        </w:rPr>
        <w:t xml:space="preserve">effort </w:t>
      </w:r>
      <w:r>
        <w:rPr>
          <w:szCs w:val="20"/>
          <w:lang w:val="en-US"/>
        </w:rPr>
        <w:t xml:space="preserve">distribution is </w:t>
      </w:r>
      <w:r w:rsidR="00C4230E">
        <w:rPr>
          <w:szCs w:val="20"/>
          <w:lang w:val="en-US"/>
        </w:rPr>
        <w:t>approximately</w:t>
      </w:r>
      <w:r w:rsidR="009662C3">
        <w:rPr>
          <w:szCs w:val="20"/>
          <w:lang w:val="en-US"/>
        </w:rPr>
        <w:t xml:space="preserve"> </w:t>
      </w:r>
      <w:r>
        <w:rPr>
          <w:szCs w:val="20"/>
          <w:lang w:val="en-US"/>
        </w:rPr>
        <w:t>lognormal</w:t>
      </w:r>
      <w:r w:rsidR="00117C5C">
        <w:rPr>
          <w:szCs w:val="20"/>
          <w:lang w:val="en-US"/>
        </w:rPr>
        <w:t>.</w:t>
      </w:r>
    </w:p>
    <w:p w14:paraId="4511D612" w14:textId="77777777" w:rsidR="0020383F" w:rsidRPr="006A3DE8" w:rsidRDefault="0020383F" w:rsidP="00F9044E">
      <w:pPr>
        <w:rPr>
          <w:szCs w:val="20"/>
          <w:lang w:val="en-US"/>
        </w:rPr>
      </w:pPr>
    </w:p>
    <w:p w14:paraId="05155A93" w14:textId="630F5487" w:rsidR="0088095A" w:rsidRPr="006A3DE8" w:rsidRDefault="0088095A" w:rsidP="0020383F">
      <w:pPr>
        <w:ind w:firstLine="0"/>
        <w:rPr>
          <w:b/>
          <w:bCs/>
          <w:szCs w:val="20"/>
          <w:lang w:val="en-US"/>
        </w:rPr>
      </w:pPr>
      <w:r w:rsidRPr="006A3DE8">
        <w:rPr>
          <w:noProof/>
          <w:szCs w:val="20"/>
          <w:lang w:val="en-US"/>
        </w:rPr>
        <w:drawing>
          <wp:inline distT="0" distB="0" distL="0" distR="0" wp14:anchorId="66873173" wp14:editId="6F4BD532">
            <wp:extent cx="4407744" cy="330385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3886" cy="3375918"/>
                    </a:xfrm>
                    <a:prstGeom prst="rect">
                      <a:avLst/>
                    </a:prstGeom>
                  </pic:spPr>
                </pic:pic>
              </a:graphicData>
            </a:graphic>
          </wp:inline>
        </w:drawing>
      </w:r>
    </w:p>
    <w:p w14:paraId="73511AD9" w14:textId="6DE8E679" w:rsidR="0088095A" w:rsidRPr="006A3DE8" w:rsidRDefault="0088095A" w:rsidP="0020383F">
      <w:pPr>
        <w:ind w:firstLine="0"/>
        <w:rPr>
          <w:b/>
          <w:bCs/>
          <w:szCs w:val="20"/>
          <w:lang w:val="en-US"/>
        </w:rPr>
      </w:pPr>
      <w:r w:rsidRPr="006A3DE8">
        <w:rPr>
          <w:b/>
          <w:bCs/>
          <w:szCs w:val="20"/>
          <w:lang w:val="en-US"/>
        </w:rPr>
        <w:t xml:space="preserve">Figure </w:t>
      </w:r>
      <w:r w:rsidR="00DD187D" w:rsidRPr="006A3DE8">
        <w:rPr>
          <w:b/>
          <w:bCs/>
          <w:szCs w:val="20"/>
          <w:lang w:val="en-US"/>
        </w:rPr>
        <w:t>1</w:t>
      </w:r>
      <w:r w:rsidRPr="006A3DE8">
        <w:rPr>
          <w:b/>
          <w:bCs/>
          <w:szCs w:val="20"/>
          <w:lang w:val="en-US"/>
        </w:rPr>
        <w:t xml:space="preserve">. Effort distributions of </w:t>
      </w:r>
      <w:r w:rsidR="00650A47" w:rsidRPr="006A3DE8">
        <w:rPr>
          <w:b/>
          <w:bCs/>
          <w:szCs w:val="20"/>
          <w:lang w:val="en-US"/>
        </w:rPr>
        <w:t xml:space="preserve">the </w:t>
      </w:r>
      <w:r w:rsidRPr="006A3DE8">
        <w:rPr>
          <w:b/>
          <w:bCs/>
          <w:szCs w:val="20"/>
          <w:lang w:val="en-US"/>
        </w:rPr>
        <w:t>five tasks</w:t>
      </w:r>
      <w:r w:rsidR="007C3888">
        <w:rPr>
          <w:b/>
          <w:bCs/>
          <w:szCs w:val="20"/>
          <w:lang w:val="en-US"/>
        </w:rPr>
        <w:t xml:space="preserve"> with fitted log-normal distributions</w:t>
      </w:r>
    </w:p>
    <w:p w14:paraId="270BFB5F" w14:textId="539509D5" w:rsidR="00EC6721" w:rsidRPr="006A3DE8" w:rsidRDefault="00EC6721" w:rsidP="00BE0CC6">
      <w:pPr>
        <w:rPr>
          <w:szCs w:val="20"/>
          <w:lang w:val="en-US"/>
        </w:rPr>
      </w:pPr>
    </w:p>
    <w:p w14:paraId="70D3EF4B" w14:textId="11382F32" w:rsidR="0088095A" w:rsidRPr="006A3DE8" w:rsidRDefault="00415794" w:rsidP="00BE0CC6">
      <w:pPr>
        <w:rPr>
          <w:szCs w:val="20"/>
          <w:lang w:val="en-US"/>
        </w:rPr>
      </w:pPr>
      <w:r w:rsidRPr="006A3DE8">
        <w:rPr>
          <w:szCs w:val="20"/>
          <w:lang w:val="en-US"/>
        </w:rPr>
        <w:t>The analysis is based on the following procedure:</w:t>
      </w:r>
    </w:p>
    <w:p w14:paraId="53C7DFE4" w14:textId="3C290B9D" w:rsidR="00415794" w:rsidRPr="006A3DE8" w:rsidRDefault="00DF5BED" w:rsidP="00CE6022">
      <w:pPr>
        <w:pStyle w:val="ListParagraph"/>
        <w:numPr>
          <w:ilvl w:val="0"/>
          <w:numId w:val="12"/>
        </w:numPr>
        <w:rPr>
          <w:szCs w:val="20"/>
          <w:lang w:val="en-US"/>
        </w:rPr>
      </w:pPr>
      <w:r w:rsidRPr="006A3DE8">
        <w:rPr>
          <w:szCs w:val="20"/>
          <w:lang w:val="en-US"/>
        </w:rPr>
        <w:t>The estimate</w:t>
      </w:r>
      <w:r>
        <w:rPr>
          <w:szCs w:val="20"/>
          <w:lang w:val="en-US"/>
        </w:rPr>
        <w:t>s</w:t>
      </w:r>
      <w:r w:rsidRPr="006A3DE8">
        <w:rPr>
          <w:szCs w:val="20"/>
          <w:lang w:val="en-US"/>
        </w:rPr>
        <w:t xml:space="preserve"> </w:t>
      </w:r>
      <w:r w:rsidR="006D6CD2">
        <w:rPr>
          <w:szCs w:val="20"/>
          <w:lang w:val="en-US"/>
        </w:rPr>
        <w:t>(</w:t>
      </w:r>
      <w:proofErr w:type="spellStart"/>
      <w:proofErr w:type="gramStart"/>
      <w:r w:rsidR="006D6CD2" w:rsidRPr="006D6CD2">
        <w:rPr>
          <w:i/>
          <w:iCs/>
          <w:szCs w:val="20"/>
          <w:lang w:val="en-US"/>
        </w:rPr>
        <w:t>est</w:t>
      </w:r>
      <w:r w:rsidR="0074023D" w:rsidRPr="0074023D">
        <w:rPr>
          <w:i/>
          <w:iCs/>
          <w:szCs w:val="20"/>
          <w:vertAlign w:val="subscript"/>
          <w:lang w:val="en-US"/>
        </w:rPr>
        <w:t>i</w:t>
      </w:r>
      <w:proofErr w:type="spellEnd"/>
      <w:r w:rsidR="00E41DFD">
        <w:rPr>
          <w:i/>
          <w:iCs/>
          <w:szCs w:val="20"/>
          <w:lang w:val="en-US"/>
        </w:rPr>
        <w:t>(</w:t>
      </w:r>
      <w:proofErr w:type="gramEnd"/>
      <w:r w:rsidR="005947F6">
        <w:rPr>
          <w:i/>
          <w:iCs/>
          <w:szCs w:val="20"/>
          <w:lang w:val="en-US"/>
        </w:rPr>
        <w:t>M</w:t>
      </w:r>
      <w:r w:rsidR="00E41DFD">
        <w:rPr>
          <w:i/>
          <w:iCs/>
          <w:szCs w:val="20"/>
          <w:lang w:val="en-US"/>
        </w:rPr>
        <w:t>ode)</w:t>
      </w:r>
      <w:r w:rsidR="006D6CD2">
        <w:rPr>
          <w:szCs w:val="20"/>
          <w:lang w:val="en-US"/>
        </w:rPr>
        <w:t xml:space="preserve">) </w:t>
      </w:r>
      <w:r w:rsidRPr="006A3DE8">
        <w:rPr>
          <w:szCs w:val="20"/>
          <w:lang w:val="en-US"/>
        </w:rPr>
        <w:t xml:space="preserve">of the mode </w:t>
      </w:r>
      <w:r>
        <w:rPr>
          <w:szCs w:val="20"/>
          <w:lang w:val="en-US"/>
        </w:rPr>
        <w:t>values</w:t>
      </w:r>
      <w:r w:rsidR="005D0862">
        <w:rPr>
          <w:szCs w:val="20"/>
          <w:lang w:val="en-US"/>
        </w:rPr>
        <w:t xml:space="preserve"> </w:t>
      </w:r>
      <w:r w:rsidR="00A24DFE">
        <w:rPr>
          <w:szCs w:val="20"/>
          <w:lang w:val="en-US"/>
        </w:rPr>
        <w:t xml:space="preserve">of the five tasks </w:t>
      </w:r>
      <w:r w:rsidR="0074023D">
        <w:rPr>
          <w:szCs w:val="20"/>
          <w:lang w:val="en-US"/>
        </w:rPr>
        <w:t>(</w:t>
      </w:r>
      <w:proofErr w:type="spellStart"/>
      <w:r w:rsidR="0074023D" w:rsidRPr="0074023D">
        <w:rPr>
          <w:i/>
          <w:iCs/>
          <w:szCs w:val="20"/>
          <w:lang w:val="en-US"/>
        </w:rPr>
        <w:t>i</w:t>
      </w:r>
      <w:proofErr w:type="spellEnd"/>
      <w:r w:rsidR="0074023D" w:rsidRPr="0074023D">
        <w:rPr>
          <w:i/>
          <w:iCs/>
          <w:szCs w:val="20"/>
          <w:lang w:val="en-US"/>
        </w:rPr>
        <w:t>=1..5</w:t>
      </w:r>
      <w:r w:rsidR="0074023D">
        <w:rPr>
          <w:szCs w:val="20"/>
          <w:lang w:val="en-US"/>
        </w:rPr>
        <w:t xml:space="preserve">) </w:t>
      </w:r>
      <w:r>
        <w:rPr>
          <w:szCs w:val="20"/>
          <w:lang w:val="en-US"/>
        </w:rPr>
        <w:t>are</w:t>
      </w:r>
      <w:r w:rsidRPr="006A3DE8">
        <w:rPr>
          <w:szCs w:val="20"/>
          <w:lang w:val="en-US"/>
        </w:rPr>
        <w:t xml:space="preserve"> derived from the mode from log-normal distribution</w:t>
      </w:r>
      <w:r>
        <w:rPr>
          <w:szCs w:val="20"/>
          <w:lang w:val="en-US"/>
        </w:rPr>
        <w:t>s</w:t>
      </w:r>
      <w:r w:rsidRPr="006A3DE8">
        <w:rPr>
          <w:szCs w:val="20"/>
          <w:lang w:val="en-US"/>
        </w:rPr>
        <w:t xml:space="preserve"> </w:t>
      </w:r>
      <w:r>
        <w:rPr>
          <w:szCs w:val="20"/>
          <w:lang w:val="en-US"/>
        </w:rPr>
        <w:t>fitted to the five</w:t>
      </w:r>
      <w:r w:rsidR="005D0862">
        <w:rPr>
          <w:szCs w:val="20"/>
          <w:lang w:val="en-US"/>
        </w:rPr>
        <w:t xml:space="preserve"> </w:t>
      </w:r>
      <w:r>
        <w:rPr>
          <w:szCs w:val="20"/>
          <w:lang w:val="en-US"/>
        </w:rPr>
        <w:t xml:space="preserve">effort distributions </w:t>
      </w:r>
      <w:r w:rsidRPr="006A3DE8">
        <w:rPr>
          <w:szCs w:val="20"/>
          <w:lang w:val="en-US"/>
        </w:rPr>
        <w:t xml:space="preserve">(using </w:t>
      </w:r>
      <w:r w:rsidRPr="006A3DE8">
        <w:rPr>
          <w:i/>
          <w:iCs/>
          <w:szCs w:val="20"/>
          <w:lang w:val="en-US"/>
        </w:rPr>
        <w:t>@risk</w:t>
      </w:r>
      <w:r w:rsidRPr="006A3DE8">
        <w:rPr>
          <w:szCs w:val="20"/>
          <w:lang w:val="en-US"/>
        </w:rPr>
        <w:t>).</w:t>
      </w:r>
      <w:r>
        <w:rPr>
          <w:szCs w:val="20"/>
          <w:lang w:val="en-US"/>
        </w:rPr>
        <w:t xml:space="preserve"> </w:t>
      </w:r>
      <w:r w:rsidR="00CE6022" w:rsidRPr="006A3DE8">
        <w:rPr>
          <w:szCs w:val="20"/>
          <w:lang w:val="en-US"/>
        </w:rPr>
        <w:t xml:space="preserve">The </w:t>
      </w:r>
      <w:r w:rsidR="00036487" w:rsidRPr="006A3DE8">
        <w:rPr>
          <w:szCs w:val="20"/>
          <w:lang w:val="en-US"/>
        </w:rPr>
        <w:t>estimates</w:t>
      </w:r>
      <w:r w:rsidR="007523D7">
        <w:rPr>
          <w:szCs w:val="20"/>
          <w:lang w:val="en-US"/>
        </w:rPr>
        <w:t xml:space="preserve"> </w:t>
      </w:r>
      <w:r w:rsidR="00036487" w:rsidRPr="006A3DE8">
        <w:rPr>
          <w:szCs w:val="20"/>
          <w:lang w:val="en-US"/>
        </w:rPr>
        <w:t xml:space="preserve">of the </w:t>
      </w:r>
      <w:r w:rsidR="00CE6022" w:rsidRPr="006A3DE8">
        <w:rPr>
          <w:szCs w:val="20"/>
          <w:lang w:val="en-US"/>
        </w:rPr>
        <w:t>me</w:t>
      </w:r>
      <w:r>
        <w:rPr>
          <w:szCs w:val="20"/>
          <w:lang w:val="en-US"/>
        </w:rPr>
        <w:t>dians</w:t>
      </w:r>
      <w:r w:rsidR="00CE6022" w:rsidRPr="006A3DE8">
        <w:rPr>
          <w:szCs w:val="20"/>
          <w:lang w:val="en-US"/>
        </w:rPr>
        <w:t xml:space="preserve"> </w:t>
      </w:r>
      <w:r w:rsidR="00603CD6">
        <w:rPr>
          <w:szCs w:val="20"/>
          <w:lang w:val="en-US"/>
        </w:rPr>
        <w:t>(</w:t>
      </w:r>
      <w:proofErr w:type="spellStart"/>
      <w:proofErr w:type="gramStart"/>
      <w:r w:rsidR="00603CD6" w:rsidRPr="00603CD6">
        <w:rPr>
          <w:i/>
          <w:iCs/>
          <w:szCs w:val="20"/>
          <w:lang w:val="en-US"/>
        </w:rPr>
        <w:t>est</w:t>
      </w:r>
      <w:r w:rsidR="00B96413" w:rsidRPr="00B96413">
        <w:rPr>
          <w:i/>
          <w:iCs/>
          <w:szCs w:val="20"/>
          <w:vertAlign w:val="subscript"/>
          <w:lang w:val="en-US"/>
        </w:rPr>
        <w:t>i</w:t>
      </w:r>
      <w:proofErr w:type="spellEnd"/>
      <w:r w:rsidR="00603CD6" w:rsidRPr="00603CD6">
        <w:rPr>
          <w:i/>
          <w:iCs/>
          <w:szCs w:val="20"/>
          <w:lang w:val="en-US"/>
        </w:rPr>
        <w:t>(</w:t>
      </w:r>
      <w:proofErr w:type="gramEnd"/>
      <w:r w:rsidR="005947F6">
        <w:rPr>
          <w:i/>
          <w:iCs/>
          <w:szCs w:val="20"/>
          <w:lang w:val="en-US"/>
        </w:rPr>
        <w:t>M</w:t>
      </w:r>
      <w:r w:rsidR="00603CD6" w:rsidRPr="00603CD6">
        <w:rPr>
          <w:i/>
          <w:iCs/>
          <w:szCs w:val="20"/>
          <w:lang w:val="en-US"/>
        </w:rPr>
        <w:t>edian)</w:t>
      </w:r>
      <w:r w:rsidR="00603CD6">
        <w:rPr>
          <w:szCs w:val="20"/>
          <w:lang w:val="en-US"/>
        </w:rPr>
        <w:t xml:space="preserve">) </w:t>
      </w:r>
      <w:r w:rsidR="00CE6022" w:rsidRPr="006A3DE8">
        <w:rPr>
          <w:szCs w:val="20"/>
          <w:lang w:val="en-US"/>
        </w:rPr>
        <w:t xml:space="preserve">and the </w:t>
      </w:r>
      <w:r>
        <w:rPr>
          <w:szCs w:val="20"/>
          <w:lang w:val="en-US"/>
        </w:rPr>
        <w:t xml:space="preserve">means </w:t>
      </w:r>
      <w:r w:rsidR="00603CD6">
        <w:rPr>
          <w:szCs w:val="20"/>
          <w:lang w:val="en-US"/>
        </w:rPr>
        <w:t>(</w:t>
      </w:r>
      <w:proofErr w:type="spellStart"/>
      <w:r w:rsidR="00603CD6" w:rsidRPr="00603CD6">
        <w:rPr>
          <w:i/>
          <w:iCs/>
          <w:szCs w:val="20"/>
          <w:lang w:val="en-US"/>
        </w:rPr>
        <w:t>est</w:t>
      </w:r>
      <w:r w:rsidR="00B96413" w:rsidRPr="00B96413">
        <w:rPr>
          <w:i/>
          <w:iCs/>
          <w:szCs w:val="20"/>
          <w:vertAlign w:val="subscript"/>
          <w:lang w:val="en-US"/>
        </w:rPr>
        <w:t>i</w:t>
      </w:r>
      <w:proofErr w:type="spellEnd"/>
      <w:r w:rsidR="00603CD6" w:rsidRPr="00603CD6">
        <w:rPr>
          <w:i/>
          <w:iCs/>
          <w:szCs w:val="20"/>
          <w:lang w:val="en-US"/>
        </w:rPr>
        <w:t>(</w:t>
      </w:r>
      <w:r w:rsidR="005947F6">
        <w:rPr>
          <w:i/>
          <w:iCs/>
          <w:szCs w:val="20"/>
          <w:lang w:val="en-US"/>
        </w:rPr>
        <w:t>M</w:t>
      </w:r>
      <w:r w:rsidR="00603CD6" w:rsidRPr="00603CD6">
        <w:rPr>
          <w:i/>
          <w:iCs/>
          <w:szCs w:val="20"/>
          <w:lang w:val="en-US"/>
        </w:rPr>
        <w:t>ean)</w:t>
      </w:r>
      <w:r w:rsidR="00603CD6">
        <w:rPr>
          <w:szCs w:val="20"/>
          <w:lang w:val="en-US"/>
        </w:rPr>
        <w:t xml:space="preserve">) </w:t>
      </w:r>
      <w:r w:rsidR="00814CC4">
        <w:rPr>
          <w:szCs w:val="20"/>
          <w:lang w:val="en-US"/>
        </w:rPr>
        <w:t xml:space="preserve">of the five tasks </w:t>
      </w:r>
      <w:r w:rsidR="00731634" w:rsidRPr="006A3DE8">
        <w:rPr>
          <w:szCs w:val="20"/>
          <w:lang w:val="en-US"/>
        </w:rPr>
        <w:t>are</w:t>
      </w:r>
      <w:r w:rsidR="00CE6022" w:rsidRPr="006A3DE8">
        <w:rPr>
          <w:szCs w:val="20"/>
          <w:lang w:val="en-US"/>
        </w:rPr>
        <w:t xml:space="preserve"> </w:t>
      </w:r>
      <w:r w:rsidR="00AE0B54" w:rsidRPr="006A3DE8">
        <w:rPr>
          <w:szCs w:val="20"/>
          <w:lang w:val="en-US"/>
        </w:rPr>
        <w:t xml:space="preserve">calculated as </w:t>
      </w:r>
      <w:r w:rsidR="00CE6022" w:rsidRPr="006A3DE8">
        <w:rPr>
          <w:szCs w:val="20"/>
          <w:lang w:val="en-US"/>
        </w:rPr>
        <w:t>the empirical me</w:t>
      </w:r>
      <w:r w:rsidR="00814CC4">
        <w:rPr>
          <w:szCs w:val="20"/>
          <w:lang w:val="en-US"/>
        </w:rPr>
        <w:t>dian</w:t>
      </w:r>
      <w:r w:rsidR="00CE6022" w:rsidRPr="006A3DE8">
        <w:rPr>
          <w:szCs w:val="20"/>
          <w:lang w:val="en-US"/>
        </w:rPr>
        <w:t xml:space="preserve"> and </w:t>
      </w:r>
      <w:r w:rsidR="00814CC4">
        <w:rPr>
          <w:szCs w:val="20"/>
          <w:lang w:val="en-US"/>
        </w:rPr>
        <w:t>mean</w:t>
      </w:r>
      <w:r w:rsidR="00CE6022" w:rsidRPr="006A3DE8">
        <w:rPr>
          <w:szCs w:val="20"/>
          <w:lang w:val="en-US"/>
        </w:rPr>
        <w:t xml:space="preserve"> </w:t>
      </w:r>
      <w:r w:rsidR="007523D7">
        <w:rPr>
          <w:szCs w:val="20"/>
          <w:lang w:val="en-US"/>
        </w:rPr>
        <w:t xml:space="preserve">values </w:t>
      </w:r>
      <w:r w:rsidR="0050739B">
        <w:rPr>
          <w:szCs w:val="20"/>
          <w:lang w:val="en-US"/>
        </w:rPr>
        <w:t>of the</w:t>
      </w:r>
      <w:r w:rsidR="00814CC4">
        <w:rPr>
          <w:szCs w:val="20"/>
          <w:lang w:val="en-US"/>
        </w:rPr>
        <w:t xml:space="preserve"> twenty actual efforts of each task</w:t>
      </w:r>
      <w:r w:rsidR="00C9503E" w:rsidRPr="006A3DE8">
        <w:rPr>
          <w:szCs w:val="20"/>
          <w:lang w:val="en-US"/>
        </w:rPr>
        <w:t>.</w:t>
      </w:r>
    </w:p>
    <w:p w14:paraId="1C54E50B" w14:textId="279986D7" w:rsidR="00CF6E3E" w:rsidRPr="006A3DE8" w:rsidRDefault="00DD7A76" w:rsidP="00CE6022">
      <w:pPr>
        <w:pStyle w:val="ListParagraph"/>
        <w:numPr>
          <w:ilvl w:val="0"/>
          <w:numId w:val="12"/>
        </w:numPr>
        <w:rPr>
          <w:szCs w:val="20"/>
          <w:lang w:val="en-US"/>
        </w:rPr>
      </w:pPr>
      <w:r w:rsidRPr="006A3DE8">
        <w:rPr>
          <w:szCs w:val="20"/>
          <w:lang w:val="en-US"/>
        </w:rPr>
        <w:t xml:space="preserve">We </w:t>
      </w:r>
      <w:r w:rsidR="00EF4FD8">
        <w:rPr>
          <w:szCs w:val="20"/>
          <w:lang w:val="en-US"/>
        </w:rPr>
        <w:t xml:space="preserve">assume a situation where </w:t>
      </w:r>
      <w:r w:rsidR="00CE56C8" w:rsidRPr="006A3DE8">
        <w:rPr>
          <w:szCs w:val="20"/>
          <w:lang w:val="en-US"/>
        </w:rPr>
        <w:t xml:space="preserve">the </w:t>
      </w:r>
      <w:r w:rsidR="00A11AA3">
        <w:rPr>
          <w:szCs w:val="20"/>
          <w:lang w:val="en-US"/>
        </w:rPr>
        <w:t xml:space="preserve">actual </w:t>
      </w:r>
      <w:r w:rsidR="00CE56C8" w:rsidRPr="006A3DE8">
        <w:rPr>
          <w:szCs w:val="20"/>
          <w:lang w:val="en-US"/>
        </w:rPr>
        <w:t xml:space="preserve">effort </w:t>
      </w:r>
      <w:r w:rsidR="00A11AA3">
        <w:rPr>
          <w:szCs w:val="20"/>
          <w:lang w:val="en-US"/>
        </w:rPr>
        <w:t>(</w:t>
      </w:r>
      <w:proofErr w:type="spellStart"/>
      <w:r w:rsidR="00A11AA3" w:rsidRPr="006D6CD2">
        <w:rPr>
          <w:i/>
          <w:iCs/>
          <w:szCs w:val="20"/>
          <w:lang w:val="en-US"/>
        </w:rPr>
        <w:t>act</w:t>
      </w:r>
      <w:r w:rsidR="0007236A" w:rsidRPr="0007236A">
        <w:rPr>
          <w:i/>
          <w:iCs/>
          <w:szCs w:val="20"/>
          <w:vertAlign w:val="subscript"/>
          <w:lang w:val="en-US"/>
        </w:rPr>
        <w:t>i</w:t>
      </w:r>
      <w:proofErr w:type="spellEnd"/>
      <w:r w:rsidR="00A11AA3">
        <w:rPr>
          <w:szCs w:val="20"/>
          <w:lang w:val="en-US"/>
        </w:rPr>
        <w:t xml:space="preserve">) </w:t>
      </w:r>
      <w:r w:rsidR="00B2497B">
        <w:rPr>
          <w:szCs w:val="20"/>
          <w:lang w:val="en-US"/>
        </w:rPr>
        <w:t xml:space="preserve">of </w:t>
      </w:r>
      <w:r w:rsidRPr="006A3DE8">
        <w:rPr>
          <w:szCs w:val="20"/>
          <w:lang w:val="en-US"/>
        </w:rPr>
        <w:t>each developer ha</w:t>
      </w:r>
      <w:r w:rsidR="00833DBC">
        <w:rPr>
          <w:szCs w:val="20"/>
          <w:lang w:val="en-US"/>
        </w:rPr>
        <w:t>s</w:t>
      </w:r>
      <w:r w:rsidRPr="006A3DE8">
        <w:rPr>
          <w:szCs w:val="20"/>
          <w:lang w:val="en-US"/>
        </w:rPr>
        <w:t xml:space="preserve"> the same probability to be </w:t>
      </w:r>
      <w:r w:rsidR="00AE247C" w:rsidRPr="006A3DE8">
        <w:rPr>
          <w:szCs w:val="20"/>
          <w:lang w:val="en-US"/>
        </w:rPr>
        <w:t>sampled</w:t>
      </w:r>
      <w:r w:rsidR="00EF4FD8">
        <w:rPr>
          <w:szCs w:val="20"/>
          <w:lang w:val="en-US"/>
        </w:rPr>
        <w:t xml:space="preserve"> for each task</w:t>
      </w:r>
      <w:r w:rsidRPr="006A3DE8">
        <w:rPr>
          <w:szCs w:val="20"/>
          <w:lang w:val="en-US"/>
        </w:rPr>
        <w:t>.</w:t>
      </w:r>
    </w:p>
    <w:p w14:paraId="20A17F75" w14:textId="13AF1704" w:rsidR="001957EC" w:rsidRPr="00244418" w:rsidRDefault="00922EA9" w:rsidP="00244418">
      <w:pPr>
        <w:pStyle w:val="ListParagraph"/>
        <w:numPr>
          <w:ilvl w:val="0"/>
          <w:numId w:val="12"/>
        </w:numPr>
        <w:rPr>
          <w:szCs w:val="20"/>
          <w:lang w:val="en-US"/>
        </w:rPr>
      </w:pPr>
      <w:r w:rsidRPr="006A3DE8">
        <w:rPr>
          <w:szCs w:val="20"/>
          <w:lang w:val="en-US"/>
        </w:rPr>
        <w:t xml:space="preserve">The error measures </w:t>
      </w:r>
      <w:r w:rsidR="00932050">
        <w:rPr>
          <w:szCs w:val="20"/>
          <w:lang w:val="en-US"/>
        </w:rPr>
        <w:t>are</w:t>
      </w:r>
      <w:r w:rsidRPr="006A3DE8">
        <w:rPr>
          <w:szCs w:val="20"/>
          <w:lang w:val="en-US"/>
        </w:rPr>
        <w:t xml:space="preserve"> selected to include one</w:t>
      </w:r>
      <w:r w:rsidR="00543883" w:rsidRPr="006A3DE8">
        <w:rPr>
          <w:szCs w:val="20"/>
          <w:lang w:val="en-US"/>
        </w:rPr>
        <w:t xml:space="preserve"> </w:t>
      </w:r>
      <w:r w:rsidR="00787159" w:rsidRPr="006A3DE8">
        <w:rPr>
          <w:szCs w:val="20"/>
          <w:lang w:val="en-US"/>
        </w:rPr>
        <w:t xml:space="preserve">scale-free </w:t>
      </w:r>
      <w:r w:rsidR="008E3CBE" w:rsidRPr="006A3DE8">
        <w:rPr>
          <w:szCs w:val="20"/>
          <w:lang w:val="en-US"/>
        </w:rPr>
        <w:t>measure</w:t>
      </w:r>
      <w:r w:rsidR="00787159" w:rsidRPr="006A3DE8">
        <w:rPr>
          <w:szCs w:val="20"/>
          <w:lang w:val="en-US"/>
        </w:rPr>
        <w:t xml:space="preserve"> </w:t>
      </w:r>
      <w:r w:rsidR="00543883" w:rsidRPr="006A3DE8">
        <w:rPr>
          <w:szCs w:val="20"/>
          <w:lang w:val="en-US"/>
        </w:rPr>
        <w:t>with expected error minimized by the mode</w:t>
      </w:r>
      <w:r w:rsidR="00B52DAB">
        <w:rPr>
          <w:szCs w:val="20"/>
          <w:lang w:val="en-US"/>
        </w:rPr>
        <w:t xml:space="preserve"> when assuming</w:t>
      </w:r>
      <w:r w:rsidR="008E080B" w:rsidRPr="006A3DE8">
        <w:rPr>
          <w:szCs w:val="20"/>
          <w:lang w:val="en-US"/>
        </w:rPr>
        <w:t xml:space="preserve"> lognormal distributions</w:t>
      </w:r>
      <w:r w:rsidR="00543883" w:rsidRPr="006A3DE8">
        <w:rPr>
          <w:szCs w:val="20"/>
          <w:lang w:val="en-US"/>
        </w:rPr>
        <w:t xml:space="preserve"> (MMRE), </w:t>
      </w:r>
      <w:r w:rsidR="008E080B" w:rsidRPr="006A3DE8">
        <w:rPr>
          <w:szCs w:val="20"/>
          <w:lang w:val="en-US"/>
        </w:rPr>
        <w:t>one</w:t>
      </w:r>
      <w:r w:rsidR="00543883" w:rsidRPr="006A3DE8">
        <w:rPr>
          <w:szCs w:val="20"/>
          <w:lang w:val="en-US"/>
        </w:rPr>
        <w:t xml:space="preserve"> </w:t>
      </w:r>
      <w:r w:rsidR="00787159" w:rsidRPr="006A3DE8">
        <w:rPr>
          <w:szCs w:val="20"/>
          <w:lang w:val="en-US"/>
        </w:rPr>
        <w:t xml:space="preserve">absolute measure </w:t>
      </w:r>
      <w:r w:rsidR="00543883" w:rsidRPr="006A3DE8">
        <w:rPr>
          <w:szCs w:val="20"/>
          <w:lang w:val="en-US"/>
        </w:rPr>
        <w:t>minimized by the median</w:t>
      </w:r>
      <w:r w:rsidR="003C2A50">
        <w:rPr>
          <w:szCs w:val="20"/>
          <w:lang w:val="en-US"/>
        </w:rPr>
        <w:t xml:space="preserve"> </w:t>
      </w:r>
      <w:r w:rsidR="00543883" w:rsidRPr="006A3DE8">
        <w:rPr>
          <w:szCs w:val="20"/>
          <w:lang w:val="en-US"/>
        </w:rPr>
        <w:t>(</w:t>
      </w:r>
      <w:r w:rsidR="000B2DE1" w:rsidRPr="006A3DE8">
        <w:rPr>
          <w:szCs w:val="20"/>
          <w:lang w:val="en-US"/>
        </w:rPr>
        <w:t xml:space="preserve">Mean absolute Error, </w:t>
      </w:r>
      <w:r w:rsidR="001C439C" w:rsidRPr="006A3DE8">
        <w:rPr>
          <w:szCs w:val="20"/>
          <w:lang w:val="en-US"/>
        </w:rPr>
        <w:t xml:space="preserve">MAE </w:t>
      </w:r>
      <w:r w:rsidR="00FA16E6" w:rsidRPr="006A3DE8">
        <w:rPr>
          <w:szCs w:val="20"/>
          <w:lang w:val="en-US"/>
        </w:rPr>
        <w:t xml:space="preserve">= </w:t>
      </w:r>
      <m:oMath>
        <m:f>
          <m:fPr>
            <m:ctrlPr>
              <w:rPr>
                <w:rFonts w:ascii="Cambria Math" w:hAnsi="Cambria Math"/>
                <w:i/>
                <w:szCs w:val="20"/>
                <w:lang w:val="en-US"/>
              </w:rPr>
            </m:ctrlPr>
          </m:fPr>
          <m:num>
            <m:r>
              <w:rPr>
                <w:rFonts w:ascii="Cambria Math" w:hAnsi="Cambria Math"/>
                <w:szCs w:val="20"/>
                <w:lang w:val="en-US"/>
              </w:rPr>
              <m:t>1</m:t>
            </m:r>
          </m:num>
          <m:den>
            <m:r>
              <w:rPr>
                <w:rFonts w:ascii="Cambria Math" w:hAnsi="Cambria Math"/>
                <w:szCs w:val="20"/>
                <w:lang w:val="en-US"/>
              </w:rPr>
              <m:t>N</m:t>
            </m:r>
          </m:den>
        </m:f>
        <m:nary>
          <m:naryPr>
            <m:chr m:val="∑"/>
            <m:limLoc m:val="undOvr"/>
            <m:ctrlPr>
              <w:rPr>
                <w:rFonts w:ascii="Cambria Math" w:hAnsi="Cambria Math"/>
                <w:i/>
                <w:szCs w:val="20"/>
                <w:lang w:val="en-US"/>
              </w:rPr>
            </m:ctrlPr>
          </m:naryPr>
          <m:sub>
            <m:r>
              <w:rPr>
                <w:rFonts w:ascii="Cambria Math" w:hAnsi="Cambria Math"/>
                <w:szCs w:val="20"/>
                <w:lang w:val="en-US"/>
              </w:rPr>
              <m:t>i=1</m:t>
            </m:r>
          </m:sub>
          <m:sup>
            <m:r>
              <w:rPr>
                <w:rFonts w:ascii="Cambria Math" w:hAnsi="Cambria Math"/>
                <w:szCs w:val="20"/>
                <w:lang w:val="en-US"/>
              </w:rPr>
              <m:t>N</m:t>
            </m:r>
          </m:sup>
          <m:e>
            <m:d>
              <m:dPr>
                <m:begChr m:val="|"/>
                <m:endChr m:val="|"/>
                <m:ctrlPr>
                  <w:rPr>
                    <w:rFonts w:ascii="Cambria Math" w:hAnsi="Cambria Math"/>
                    <w:i/>
                    <w:szCs w:val="20"/>
                    <w:lang w:val="en-US"/>
                  </w:rPr>
                </m:ctrlPr>
              </m:dPr>
              <m:e>
                <m:sSub>
                  <m:sSubPr>
                    <m:ctrlPr>
                      <w:rPr>
                        <w:rFonts w:ascii="Cambria Math" w:hAnsi="Cambria Math"/>
                        <w:i/>
                        <w:szCs w:val="20"/>
                        <w:lang w:val="en-US"/>
                      </w:rPr>
                    </m:ctrlPr>
                  </m:sSubPr>
                  <m:e>
                    <m:r>
                      <w:rPr>
                        <w:rFonts w:ascii="Cambria Math" w:hAnsi="Cambria Math"/>
                        <w:szCs w:val="20"/>
                        <w:lang w:val="en-US"/>
                      </w:rPr>
                      <m:t>act</m:t>
                    </m:r>
                  </m:e>
                  <m:sub>
                    <m:r>
                      <w:rPr>
                        <w:rFonts w:ascii="Cambria Math" w:hAnsi="Cambria Math"/>
                        <w:szCs w:val="20"/>
                        <w:lang w:val="en-US"/>
                      </w:rPr>
                      <m:t>i</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est</m:t>
                    </m:r>
                  </m:e>
                  <m:sub>
                    <m:r>
                      <w:rPr>
                        <w:rFonts w:ascii="Cambria Math" w:hAnsi="Cambria Math"/>
                        <w:szCs w:val="20"/>
                        <w:lang w:val="en-US"/>
                      </w:rPr>
                      <m:t>i</m:t>
                    </m:r>
                  </m:sub>
                </m:sSub>
              </m:e>
            </m:d>
          </m:e>
        </m:nary>
      </m:oMath>
      <w:r w:rsidR="008E080B" w:rsidRPr="006A3DE8">
        <w:rPr>
          <w:szCs w:val="20"/>
          <w:lang w:val="en-US"/>
        </w:rPr>
        <w:t xml:space="preserve">), one </w:t>
      </w:r>
      <w:r w:rsidR="008E3CBE" w:rsidRPr="006A3DE8">
        <w:rPr>
          <w:szCs w:val="20"/>
          <w:lang w:val="en-US"/>
        </w:rPr>
        <w:t xml:space="preserve">scale-free measure </w:t>
      </w:r>
      <w:r w:rsidR="008E080B" w:rsidRPr="006A3DE8">
        <w:rPr>
          <w:szCs w:val="20"/>
          <w:lang w:val="en-US"/>
        </w:rPr>
        <w:t>minimized by the median</w:t>
      </w:r>
      <w:r w:rsidR="003C2A50">
        <w:rPr>
          <w:szCs w:val="20"/>
          <w:lang w:val="en-US"/>
        </w:rPr>
        <w:t xml:space="preserve"> </w:t>
      </w:r>
      <w:r w:rsidR="008E080B" w:rsidRPr="006A3DE8">
        <w:rPr>
          <w:szCs w:val="20"/>
          <w:lang w:val="en-US"/>
        </w:rPr>
        <w:t>(</w:t>
      </w:r>
      <w:r w:rsidR="00C252F3" w:rsidRPr="006A3DE8">
        <w:rPr>
          <w:szCs w:val="20"/>
          <w:lang w:val="en-US"/>
        </w:rPr>
        <w:t xml:space="preserve">Mean Absolute Relative Log-error, </w:t>
      </w:r>
      <w:r w:rsidR="00787159" w:rsidRPr="006A3DE8">
        <w:rPr>
          <w:szCs w:val="20"/>
          <w:lang w:val="en-US"/>
        </w:rPr>
        <w:t xml:space="preserve">MARL = </w:t>
      </w:r>
      <m:oMath>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N</m:t>
            </m:r>
          </m:den>
        </m:f>
        <m:nary>
          <m:naryPr>
            <m:chr m:val="∑"/>
            <m:limLoc m:val="undOvr"/>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d>
              <m:dPr>
                <m:begChr m:val="|"/>
                <m:endChr m:val="|"/>
                <m:ctrlPr>
                  <w:rPr>
                    <w:rFonts w:ascii="Cambria Math" w:hAnsi="Cambria Math"/>
                    <w:i/>
                    <w:sz w:val="20"/>
                    <w:szCs w:val="20"/>
                    <w:lang w:val="en-US"/>
                  </w:rPr>
                </m:ctrlPr>
              </m:dPr>
              <m:e>
                <m:f>
                  <m:fPr>
                    <m:ctrlPr>
                      <w:rPr>
                        <w:rFonts w:ascii="Cambria Math" w:hAnsi="Cambria Math"/>
                        <w:i/>
                        <w:sz w:val="20"/>
                        <w:szCs w:val="20"/>
                        <w:lang w:val="en-US"/>
                      </w:rPr>
                    </m:ctrlPr>
                  </m:fPr>
                  <m:num>
                    <m:r>
                      <m:rPr>
                        <m:sty m:val="p"/>
                      </m:rPr>
                      <w:rPr>
                        <w:rFonts w:ascii="Cambria Math" w:hAnsi="Cambria Math"/>
                        <w:sz w:val="20"/>
                        <w:szCs w:val="20"/>
                        <w:lang w:val="en-US"/>
                      </w:rPr>
                      <m:t>ln⁡</m:t>
                    </m:r>
                    <m:sSub>
                      <m:sSubPr>
                        <m:ctrlPr>
                          <w:rPr>
                            <w:rFonts w:ascii="Cambria Math" w:hAnsi="Cambria Math"/>
                            <w:i/>
                            <w:sz w:val="20"/>
                            <w:szCs w:val="20"/>
                            <w:lang w:val="en-US"/>
                          </w:rPr>
                        </m:ctrlPr>
                      </m:sSubPr>
                      <m:e>
                        <m:r>
                          <w:rPr>
                            <w:rFonts w:ascii="Cambria Math" w:hAnsi="Cambria Math"/>
                            <w:sz w:val="20"/>
                            <w:szCs w:val="20"/>
                            <w:lang w:val="en-US"/>
                          </w:rPr>
                          <m:t>act</m:t>
                        </m:r>
                      </m:e>
                      <m:sub>
                        <m:r>
                          <w:rPr>
                            <w:rFonts w:ascii="Cambria Math" w:hAnsi="Cambria Math"/>
                            <w:sz w:val="20"/>
                            <w:szCs w:val="20"/>
                            <w:lang w:val="en-US"/>
                          </w:rPr>
                          <m:t>i</m:t>
                        </m:r>
                      </m:sub>
                    </m:sSub>
                  </m:num>
                  <m:den>
                    <m:func>
                      <m:funcPr>
                        <m:ctrlPr>
                          <w:rPr>
                            <w:rFonts w:ascii="Cambria Math" w:hAnsi="Cambria Math"/>
                            <w:i/>
                            <w:sz w:val="20"/>
                            <w:szCs w:val="20"/>
                            <w:lang w:val="en-US"/>
                          </w:rPr>
                        </m:ctrlPr>
                      </m:funcPr>
                      <m:fName>
                        <m:r>
                          <m:rPr>
                            <m:sty m:val="p"/>
                          </m:rPr>
                          <w:rPr>
                            <w:rFonts w:ascii="Cambria Math" w:hAnsi="Cambria Math"/>
                            <w:sz w:val="20"/>
                            <w:szCs w:val="20"/>
                            <w:lang w:val="en-US"/>
                          </w:rPr>
                          <m:t>ln</m:t>
                        </m:r>
                      </m:fName>
                      <m:e>
                        <m:sSub>
                          <m:sSubPr>
                            <m:ctrlPr>
                              <w:rPr>
                                <w:rFonts w:ascii="Cambria Math" w:hAnsi="Cambria Math"/>
                                <w:i/>
                                <w:sz w:val="20"/>
                                <w:szCs w:val="20"/>
                                <w:lang w:val="en-US"/>
                              </w:rPr>
                            </m:ctrlPr>
                          </m:sSubPr>
                          <m:e>
                            <m:r>
                              <w:rPr>
                                <w:rFonts w:ascii="Cambria Math" w:hAnsi="Cambria Math"/>
                                <w:sz w:val="20"/>
                                <w:szCs w:val="20"/>
                                <w:lang w:val="en-US"/>
                              </w:rPr>
                              <m:t>est</m:t>
                            </m:r>
                          </m:e>
                          <m:sub>
                            <m:r>
                              <w:rPr>
                                <w:rFonts w:ascii="Cambria Math" w:hAnsi="Cambria Math"/>
                                <w:sz w:val="20"/>
                                <w:szCs w:val="20"/>
                                <w:lang w:val="en-US"/>
                              </w:rPr>
                              <m:t>i</m:t>
                            </m:r>
                          </m:sub>
                        </m:sSub>
                      </m:e>
                    </m:func>
                  </m:den>
                </m:f>
              </m:e>
            </m:d>
          </m:e>
        </m:nary>
      </m:oMath>
      <w:r w:rsidR="008E080B" w:rsidRPr="00682610">
        <w:rPr>
          <w:sz w:val="20"/>
          <w:szCs w:val="20"/>
          <w:lang w:val="en-US"/>
        </w:rPr>
        <w:t>)</w:t>
      </w:r>
      <w:r w:rsidR="00543883" w:rsidRPr="006A3DE8">
        <w:rPr>
          <w:szCs w:val="20"/>
          <w:lang w:val="en-US"/>
        </w:rPr>
        <w:t xml:space="preserve">, </w:t>
      </w:r>
      <w:r w:rsidR="008E080B" w:rsidRPr="006A3DE8">
        <w:rPr>
          <w:szCs w:val="20"/>
          <w:lang w:val="en-US"/>
        </w:rPr>
        <w:t xml:space="preserve">and </w:t>
      </w:r>
      <w:r w:rsidR="00873943" w:rsidRPr="006A3DE8">
        <w:rPr>
          <w:szCs w:val="20"/>
          <w:lang w:val="en-US"/>
        </w:rPr>
        <w:t>absolute measure</w:t>
      </w:r>
      <w:r w:rsidR="00543883" w:rsidRPr="006A3DE8">
        <w:rPr>
          <w:szCs w:val="20"/>
          <w:lang w:val="en-US"/>
        </w:rPr>
        <w:t xml:space="preserve"> minimized by the mean</w:t>
      </w:r>
      <w:r w:rsidR="003C2A50">
        <w:rPr>
          <w:szCs w:val="20"/>
          <w:lang w:val="en-US"/>
        </w:rPr>
        <w:t xml:space="preserve"> </w:t>
      </w:r>
      <w:r w:rsidR="00543883" w:rsidRPr="006A3DE8">
        <w:rPr>
          <w:szCs w:val="20"/>
          <w:lang w:val="en-US"/>
        </w:rPr>
        <w:t>(</w:t>
      </w:r>
      <w:r w:rsidR="00906194" w:rsidRPr="006A3DE8">
        <w:rPr>
          <w:szCs w:val="20"/>
          <w:lang w:val="en-US"/>
        </w:rPr>
        <w:t xml:space="preserve">Root Mean Square Error, </w:t>
      </w:r>
      <w:r w:rsidR="008E3CBE" w:rsidRPr="006A3DE8">
        <w:rPr>
          <w:szCs w:val="20"/>
          <w:lang w:val="en-US"/>
        </w:rPr>
        <w:t>R</w:t>
      </w:r>
      <w:r w:rsidR="00787594" w:rsidRPr="006A3DE8">
        <w:rPr>
          <w:szCs w:val="20"/>
          <w:lang w:val="en-US"/>
        </w:rPr>
        <w:t>M</w:t>
      </w:r>
      <w:r w:rsidR="008E3CBE" w:rsidRPr="006A3DE8">
        <w:rPr>
          <w:szCs w:val="20"/>
          <w:lang w:val="en-US"/>
        </w:rPr>
        <w:t>SE=</w:t>
      </w:r>
      <m:oMath>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N</m:t>
            </m:r>
          </m:den>
        </m:f>
        <m:rad>
          <m:radPr>
            <m:degHide m:val="1"/>
            <m:ctrlPr>
              <w:rPr>
                <w:rFonts w:ascii="Cambria Math" w:hAnsi="Cambria Math"/>
                <w:i/>
                <w:sz w:val="20"/>
                <w:szCs w:val="20"/>
                <w:lang w:val="en-US"/>
              </w:rPr>
            </m:ctrlPr>
          </m:radPr>
          <m:deg/>
          <m:e>
            <m:sSup>
              <m:sSupPr>
                <m:ctrlPr>
                  <w:rPr>
                    <w:rFonts w:ascii="Cambria Math" w:hAnsi="Cambria Math"/>
                    <w:i/>
                    <w:sz w:val="20"/>
                    <w:szCs w:val="20"/>
                    <w:lang w:val="en-US"/>
                  </w:rPr>
                </m:ctrlPr>
              </m:sSupPr>
              <m:e>
                <m:nary>
                  <m:naryPr>
                    <m:chr m:val="∑"/>
                    <m:limLoc m:val="subSup"/>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act</m:t>
                        </m:r>
                      </m:e>
                      <m:sub>
                        <m:r>
                          <w:rPr>
                            <w:rFonts w:ascii="Cambria Math" w:hAnsi="Cambria Math"/>
                            <w:sz w:val="20"/>
                            <w:szCs w:val="20"/>
                            <w:lang w:val="en-US"/>
                          </w:rPr>
                          <m:t>i</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est</m:t>
                        </m:r>
                      </m:e>
                      <m:sub>
                        <m:r>
                          <w:rPr>
                            <w:rFonts w:ascii="Cambria Math" w:hAnsi="Cambria Math"/>
                            <w:sz w:val="20"/>
                            <w:szCs w:val="20"/>
                            <w:lang w:val="en-US"/>
                          </w:rPr>
                          <m:t>i</m:t>
                        </m:r>
                      </m:sub>
                    </m:sSub>
                    <m:r>
                      <w:rPr>
                        <w:rFonts w:ascii="Cambria Math" w:hAnsi="Cambria Math"/>
                        <w:sz w:val="20"/>
                        <w:szCs w:val="20"/>
                        <w:lang w:val="en-US"/>
                      </w:rPr>
                      <m:t>)</m:t>
                    </m:r>
                  </m:e>
                </m:nary>
              </m:e>
              <m:sup>
                <m:r>
                  <w:rPr>
                    <w:rFonts w:ascii="Cambria Math" w:hAnsi="Cambria Math"/>
                    <w:sz w:val="20"/>
                    <w:szCs w:val="20"/>
                    <w:lang w:val="en-US"/>
                  </w:rPr>
                  <m:t>2</m:t>
                </m:r>
              </m:sup>
            </m:sSup>
          </m:e>
        </m:rad>
      </m:oMath>
      <w:r w:rsidR="008E3CBE" w:rsidRPr="00264EF2">
        <w:rPr>
          <w:sz w:val="20"/>
          <w:szCs w:val="20"/>
          <w:lang w:val="en-US"/>
        </w:rPr>
        <w:t>)</w:t>
      </w:r>
      <w:r w:rsidR="00CE3E3A">
        <w:rPr>
          <w:szCs w:val="20"/>
          <w:lang w:val="en-US"/>
        </w:rPr>
        <w:t xml:space="preserve"> </w:t>
      </w:r>
      <w:r w:rsidR="00453CA6">
        <w:rPr>
          <w:szCs w:val="20"/>
          <w:lang w:val="en-US"/>
        </w:rPr>
        <w:t>. See</w:t>
      </w:r>
      <w:r w:rsidR="00F9044E">
        <w:rPr>
          <w:szCs w:val="20"/>
          <w:lang w:val="en-US"/>
        </w:rPr>
        <w:t xml:space="preserve"> </w:t>
      </w:r>
      <w:r w:rsidR="00F9044E">
        <w:rPr>
          <w:szCs w:val="20"/>
          <w:lang w:val="en-US"/>
        </w:rPr>
        <w:fldChar w:fldCharType="begin"/>
      </w:r>
      <w:r w:rsidR="00F9044E">
        <w:rPr>
          <w:szCs w:val="20"/>
          <w:lang w:val="en-US"/>
        </w:rPr>
        <w:instrText xml:space="preserve"> ADDIN EN.CITE &lt;EndNote&gt;&lt;Cite&gt;&lt;Author&gt;Gneiting&lt;/Author&gt;&lt;Year&gt;2011&lt;/Year&gt;&lt;RecNum&gt;7&lt;/RecNum&gt;&lt;DisplayText&gt;[2]&lt;/DisplayText&gt;&lt;record&gt;&lt;rec-number&gt;7&lt;/rec-number&gt;&lt;foreign-keys&gt;&lt;key app="EN" db-id="rwddpazvrv5vx1e095w520dt02p2fv20sdaz" timestamp="1582634214"&gt;7&lt;/key&gt;&lt;/foreign-keys&gt;&lt;ref-type name="Journal Article"&gt;17&lt;/ref-type&gt;&lt;contributors&gt;&lt;authors&gt;&lt;author&gt;Gneiting, Tilmann&lt;/author&gt;&lt;/authors&gt;&lt;/contributors&gt;&lt;titles&gt;&lt;title&gt;Making and evaluating point forecasts&lt;/title&gt;&lt;secondary-title&gt;Journal of the American Statistical Association&lt;/secondary-title&gt;&lt;/titles&gt;&lt;periodical&gt;&lt;full-title&gt;Journal of the American Statistical Association&lt;/full-title&gt;&lt;/periodical&gt;&lt;pages&gt;746-762&lt;/pages&gt;&lt;volume&gt;106&lt;/volume&gt;&lt;number&gt;494&lt;/number&gt;&lt;dates&gt;&lt;year&gt;2011&lt;/year&gt;&lt;/dates&gt;&lt;isbn&gt;0162-1459&lt;/isbn&gt;&lt;urls&gt;&lt;/urls&gt;&lt;/record&gt;&lt;/Cite&gt;&lt;/EndNote&gt;</w:instrText>
      </w:r>
      <w:r w:rsidR="00F9044E">
        <w:rPr>
          <w:szCs w:val="20"/>
          <w:lang w:val="en-US"/>
        </w:rPr>
        <w:fldChar w:fldCharType="separate"/>
      </w:r>
      <w:r w:rsidR="00F9044E">
        <w:rPr>
          <w:noProof/>
          <w:szCs w:val="20"/>
          <w:lang w:val="en-US"/>
        </w:rPr>
        <w:t>[2]</w:t>
      </w:r>
      <w:r w:rsidR="00F9044E">
        <w:rPr>
          <w:szCs w:val="20"/>
          <w:lang w:val="en-US"/>
        </w:rPr>
        <w:fldChar w:fldCharType="end"/>
      </w:r>
      <w:r w:rsidR="00453CA6">
        <w:rPr>
          <w:szCs w:val="20"/>
          <w:lang w:val="en-US"/>
        </w:rPr>
        <w:t xml:space="preserve"> for </w:t>
      </w:r>
      <w:r w:rsidR="0097041B">
        <w:rPr>
          <w:szCs w:val="20"/>
          <w:lang w:val="en-US"/>
        </w:rPr>
        <w:t>documentation</w:t>
      </w:r>
      <w:r w:rsidR="00453CA6">
        <w:rPr>
          <w:szCs w:val="20"/>
          <w:lang w:val="en-US"/>
        </w:rPr>
        <w:t xml:space="preserve"> about </w:t>
      </w:r>
      <w:r w:rsidR="003C2A50">
        <w:rPr>
          <w:szCs w:val="20"/>
          <w:lang w:val="en-US"/>
        </w:rPr>
        <w:t xml:space="preserve">the </w:t>
      </w:r>
      <w:r w:rsidR="00453CA6">
        <w:rPr>
          <w:szCs w:val="20"/>
          <w:lang w:val="en-US"/>
        </w:rPr>
        <w:t>minimizing types of estimates</w:t>
      </w:r>
      <w:r w:rsidR="003C2A50">
        <w:rPr>
          <w:szCs w:val="20"/>
          <w:lang w:val="en-US"/>
        </w:rPr>
        <w:t xml:space="preserve"> for different error measures</w:t>
      </w:r>
      <w:r w:rsidR="008E3CBE" w:rsidRPr="006A3DE8">
        <w:rPr>
          <w:szCs w:val="20"/>
          <w:lang w:val="en-US"/>
        </w:rPr>
        <w:t>.</w:t>
      </w:r>
    </w:p>
    <w:p w14:paraId="5562B59E" w14:textId="77777777" w:rsidR="00F83135" w:rsidRPr="006A3DE8" w:rsidRDefault="00F83135" w:rsidP="00AB332E">
      <w:pPr>
        <w:rPr>
          <w:szCs w:val="20"/>
          <w:lang w:val="en-US"/>
        </w:rPr>
      </w:pPr>
    </w:p>
    <w:p w14:paraId="51CA299B" w14:textId="052AC501" w:rsidR="007120E4" w:rsidRPr="006A3DE8" w:rsidRDefault="00543883" w:rsidP="00A24DFE">
      <w:pPr>
        <w:ind w:firstLine="0"/>
        <w:rPr>
          <w:szCs w:val="20"/>
          <w:lang w:val="en-US"/>
        </w:rPr>
      </w:pPr>
      <w:r w:rsidRPr="006A3DE8">
        <w:rPr>
          <w:b/>
          <w:bCs/>
          <w:szCs w:val="20"/>
          <w:lang w:val="en-US"/>
        </w:rPr>
        <w:t xml:space="preserve">Table 1. Estimation error </w:t>
      </w:r>
      <w:r w:rsidR="00BC4DF5" w:rsidRPr="006A3DE8">
        <w:rPr>
          <w:szCs w:val="20"/>
          <w:lang w:val="en-US"/>
        </w:rPr>
        <w:t xml:space="preserve">(best performing </w:t>
      </w:r>
      <w:r w:rsidR="00361604">
        <w:rPr>
          <w:szCs w:val="20"/>
          <w:lang w:val="en-US"/>
        </w:rPr>
        <w:t xml:space="preserve">type of </w:t>
      </w:r>
      <w:r w:rsidR="00BC4DF5" w:rsidRPr="006A3DE8">
        <w:rPr>
          <w:szCs w:val="20"/>
          <w:lang w:val="en-US"/>
        </w:rPr>
        <w:t>point estimate</w:t>
      </w:r>
      <w:r w:rsidR="008F4774" w:rsidRPr="006A3DE8">
        <w:rPr>
          <w:szCs w:val="20"/>
          <w:lang w:val="en-US"/>
        </w:rPr>
        <w:t>(s)</w:t>
      </w:r>
      <w:r w:rsidR="00BC4DF5" w:rsidRPr="006A3DE8">
        <w:rPr>
          <w:szCs w:val="20"/>
          <w:lang w:val="en-US"/>
        </w:rPr>
        <w:t xml:space="preserve"> in bold)</w:t>
      </w:r>
    </w:p>
    <w:tbl>
      <w:tblPr>
        <w:tblStyle w:val="TableGrid"/>
        <w:tblW w:w="0" w:type="auto"/>
        <w:tblLook w:val="04A0" w:firstRow="1" w:lastRow="0" w:firstColumn="1" w:lastColumn="0" w:noHBand="0" w:noVBand="1"/>
      </w:tblPr>
      <w:tblGrid>
        <w:gridCol w:w="1039"/>
        <w:gridCol w:w="1305"/>
        <w:gridCol w:w="1233"/>
        <w:gridCol w:w="1133"/>
        <w:gridCol w:w="1233"/>
        <w:gridCol w:w="1409"/>
        <w:gridCol w:w="1409"/>
      </w:tblGrid>
      <w:tr w:rsidR="008E080B" w:rsidRPr="006A3DE8" w14:paraId="698D1706" w14:textId="73BAB620" w:rsidTr="00C73672">
        <w:trPr>
          <w:trHeight w:val="580"/>
        </w:trPr>
        <w:tc>
          <w:tcPr>
            <w:tcW w:w="1039" w:type="dxa"/>
            <w:tcBorders>
              <w:bottom w:val="single" w:sz="4" w:space="0" w:color="auto"/>
              <w:right w:val="nil"/>
            </w:tcBorders>
          </w:tcPr>
          <w:p w14:paraId="2C6BE1BE" w14:textId="3122907D" w:rsidR="008E080B" w:rsidRPr="006A3DE8" w:rsidRDefault="008E080B" w:rsidP="008E080B">
            <w:pPr>
              <w:pStyle w:val="NoSpacing"/>
              <w:ind w:firstLine="0"/>
              <w:rPr>
                <w:b/>
                <w:bCs/>
                <w:szCs w:val="20"/>
                <w:lang w:val="en-US"/>
              </w:rPr>
            </w:pPr>
            <w:r w:rsidRPr="006A3DE8">
              <w:rPr>
                <w:b/>
                <w:bCs/>
                <w:szCs w:val="20"/>
                <w:lang w:val="en-US"/>
              </w:rPr>
              <w:t>Task</w:t>
            </w:r>
            <w:r w:rsidR="00EB124A">
              <w:rPr>
                <w:b/>
                <w:bCs/>
                <w:szCs w:val="20"/>
                <w:lang w:val="en-US"/>
              </w:rPr>
              <w:t xml:space="preserve"> (</w:t>
            </w:r>
            <w:proofErr w:type="spellStart"/>
            <w:r w:rsidR="00EB124A">
              <w:rPr>
                <w:b/>
                <w:bCs/>
                <w:szCs w:val="20"/>
                <w:lang w:val="en-US"/>
              </w:rPr>
              <w:t>i</w:t>
            </w:r>
            <w:proofErr w:type="spellEnd"/>
            <w:r w:rsidR="00EB124A">
              <w:rPr>
                <w:b/>
                <w:bCs/>
                <w:szCs w:val="20"/>
                <w:lang w:val="en-US"/>
              </w:rPr>
              <w:t>)</w:t>
            </w:r>
          </w:p>
        </w:tc>
        <w:tc>
          <w:tcPr>
            <w:tcW w:w="1305" w:type="dxa"/>
            <w:tcBorders>
              <w:left w:val="nil"/>
              <w:bottom w:val="single" w:sz="4" w:space="0" w:color="auto"/>
              <w:right w:val="nil"/>
            </w:tcBorders>
          </w:tcPr>
          <w:p w14:paraId="6EA678E2" w14:textId="3340A2CD" w:rsidR="008E080B" w:rsidRPr="006A3DE8" w:rsidRDefault="008E080B" w:rsidP="008E080B">
            <w:pPr>
              <w:pStyle w:val="NoSpacing"/>
              <w:ind w:firstLine="0"/>
              <w:rPr>
                <w:b/>
                <w:bCs/>
                <w:szCs w:val="20"/>
                <w:lang w:val="en-US"/>
              </w:rPr>
            </w:pPr>
            <w:r w:rsidRPr="006A3DE8">
              <w:rPr>
                <w:b/>
                <w:bCs/>
                <w:szCs w:val="20"/>
                <w:lang w:val="en-US"/>
              </w:rPr>
              <w:t>Type of estimate</w:t>
            </w:r>
          </w:p>
        </w:tc>
        <w:tc>
          <w:tcPr>
            <w:tcW w:w="1233" w:type="dxa"/>
            <w:tcBorders>
              <w:left w:val="nil"/>
              <w:bottom w:val="single" w:sz="4" w:space="0" w:color="auto"/>
              <w:right w:val="nil"/>
            </w:tcBorders>
          </w:tcPr>
          <w:p w14:paraId="54D4EE65" w14:textId="52AAFDF6" w:rsidR="008E080B" w:rsidRPr="006A3DE8" w:rsidRDefault="008E080B" w:rsidP="008E080B">
            <w:pPr>
              <w:pStyle w:val="NoSpacing"/>
              <w:ind w:firstLine="0"/>
              <w:rPr>
                <w:b/>
                <w:bCs/>
                <w:szCs w:val="20"/>
                <w:lang w:val="en-US"/>
              </w:rPr>
            </w:pPr>
            <w:r w:rsidRPr="006A3DE8">
              <w:rPr>
                <w:b/>
                <w:bCs/>
                <w:szCs w:val="20"/>
                <w:lang w:val="en-US"/>
              </w:rPr>
              <w:t>Estimate</w:t>
            </w:r>
          </w:p>
        </w:tc>
        <w:tc>
          <w:tcPr>
            <w:tcW w:w="1133" w:type="dxa"/>
            <w:tcBorders>
              <w:left w:val="nil"/>
              <w:bottom w:val="single" w:sz="4" w:space="0" w:color="auto"/>
              <w:right w:val="nil"/>
            </w:tcBorders>
          </w:tcPr>
          <w:p w14:paraId="41BFFEB4" w14:textId="5197EA8B" w:rsidR="008E080B" w:rsidRPr="006A3DE8" w:rsidRDefault="008E080B" w:rsidP="008E080B">
            <w:pPr>
              <w:pStyle w:val="NoSpacing"/>
              <w:ind w:firstLine="0"/>
              <w:rPr>
                <w:b/>
                <w:bCs/>
                <w:szCs w:val="20"/>
                <w:lang w:val="en-US"/>
              </w:rPr>
            </w:pPr>
            <w:r w:rsidRPr="006A3DE8">
              <w:rPr>
                <w:b/>
                <w:bCs/>
                <w:szCs w:val="20"/>
                <w:lang w:val="en-US"/>
              </w:rPr>
              <w:t>MMRE</w:t>
            </w:r>
          </w:p>
        </w:tc>
        <w:tc>
          <w:tcPr>
            <w:tcW w:w="1233" w:type="dxa"/>
            <w:tcBorders>
              <w:left w:val="nil"/>
              <w:bottom w:val="single" w:sz="4" w:space="0" w:color="auto"/>
              <w:right w:val="nil"/>
            </w:tcBorders>
          </w:tcPr>
          <w:p w14:paraId="7D9B2092" w14:textId="45ED9F4D" w:rsidR="008E080B" w:rsidRPr="006A3DE8" w:rsidRDefault="00787594" w:rsidP="008E080B">
            <w:pPr>
              <w:pStyle w:val="NoSpacing"/>
              <w:ind w:firstLine="0"/>
              <w:rPr>
                <w:b/>
                <w:bCs/>
                <w:szCs w:val="20"/>
                <w:lang w:val="en-US"/>
              </w:rPr>
            </w:pPr>
            <w:r w:rsidRPr="006A3DE8">
              <w:rPr>
                <w:b/>
                <w:bCs/>
                <w:szCs w:val="20"/>
                <w:lang w:val="en-US"/>
              </w:rPr>
              <w:t>MAE</w:t>
            </w:r>
          </w:p>
        </w:tc>
        <w:tc>
          <w:tcPr>
            <w:tcW w:w="1409" w:type="dxa"/>
            <w:tcBorders>
              <w:left w:val="nil"/>
              <w:bottom w:val="single" w:sz="4" w:space="0" w:color="auto"/>
              <w:right w:val="nil"/>
            </w:tcBorders>
          </w:tcPr>
          <w:p w14:paraId="2735747C" w14:textId="35136CF5" w:rsidR="008E080B" w:rsidRPr="006A3DE8" w:rsidRDefault="00787594" w:rsidP="008E080B">
            <w:pPr>
              <w:pStyle w:val="NoSpacing"/>
              <w:ind w:firstLine="0"/>
              <w:rPr>
                <w:b/>
                <w:bCs/>
                <w:szCs w:val="20"/>
                <w:lang w:val="en-US"/>
              </w:rPr>
            </w:pPr>
            <w:r w:rsidRPr="006A3DE8">
              <w:rPr>
                <w:b/>
                <w:bCs/>
                <w:szCs w:val="20"/>
                <w:lang w:val="en-US"/>
              </w:rPr>
              <w:t>MARL</w:t>
            </w:r>
          </w:p>
        </w:tc>
        <w:tc>
          <w:tcPr>
            <w:tcW w:w="1409" w:type="dxa"/>
            <w:tcBorders>
              <w:left w:val="nil"/>
              <w:bottom w:val="single" w:sz="4" w:space="0" w:color="auto"/>
              <w:right w:val="single" w:sz="4" w:space="0" w:color="auto"/>
            </w:tcBorders>
          </w:tcPr>
          <w:p w14:paraId="2D08D173" w14:textId="4E003AFA" w:rsidR="008E080B" w:rsidRPr="006A3DE8" w:rsidRDefault="00787594" w:rsidP="008E080B">
            <w:pPr>
              <w:pStyle w:val="NoSpacing"/>
              <w:ind w:firstLine="0"/>
              <w:rPr>
                <w:b/>
                <w:bCs/>
                <w:szCs w:val="20"/>
                <w:lang w:val="en-US"/>
              </w:rPr>
            </w:pPr>
            <w:r w:rsidRPr="006A3DE8">
              <w:rPr>
                <w:b/>
                <w:bCs/>
                <w:szCs w:val="20"/>
                <w:lang w:val="en-US"/>
              </w:rPr>
              <w:t>RMSE</w:t>
            </w:r>
          </w:p>
        </w:tc>
      </w:tr>
      <w:tr w:rsidR="008E080B" w:rsidRPr="006A3DE8" w14:paraId="1208CB0C" w14:textId="113B641E" w:rsidTr="00C73672">
        <w:trPr>
          <w:trHeight w:val="290"/>
        </w:trPr>
        <w:tc>
          <w:tcPr>
            <w:tcW w:w="1039" w:type="dxa"/>
            <w:vMerge w:val="restart"/>
            <w:tcBorders>
              <w:bottom w:val="nil"/>
              <w:right w:val="nil"/>
            </w:tcBorders>
          </w:tcPr>
          <w:p w14:paraId="64B94174" w14:textId="5C80B6CD" w:rsidR="008E080B" w:rsidRPr="006A3DE8" w:rsidRDefault="008E080B" w:rsidP="008E080B">
            <w:pPr>
              <w:pStyle w:val="NoSpacing"/>
              <w:ind w:firstLine="0"/>
              <w:rPr>
                <w:szCs w:val="20"/>
                <w:lang w:val="en-US"/>
              </w:rPr>
            </w:pPr>
            <w:r w:rsidRPr="006A3DE8">
              <w:rPr>
                <w:szCs w:val="20"/>
                <w:lang w:val="en-US"/>
              </w:rPr>
              <w:t>Task 1</w:t>
            </w:r>
          </w:p>
        </w:tc>
        <w:tc>
          <w:tcPr>
            <w:tcW w:w="1305" w:type="dxa"/>
            <w:tcBorders>
              <w:left w:val="nil"/>
              <w:bottom w:val="nil"/>
              <w:right w:val="nil"/>
            </w:tcBorders>
          </w:tcPr>
          <w:p w14:paraId="3B013277" w14:textId="33D1F2A6" w:rsidR="008E080B" w:rsidRPr="006A3DE8" w:rsidRDefault="008E080B" w:rsidP="008E080B">
            <w:pPr>
              <w:pStyle w:val="NoSpacing"/>
              <w:ind w:firstLine="0"/>
              <w:rPr>
                <w:szCs w:val="20"/>
                <w:lang w:val="en-US"/>
              </w:rPr>
            </w:pPr>
            <w:r w:rsidRPr="006A3DE8">
              <w:rPr>
                <w:szCs w:val="20"/>
                <w:lang w:val="en-US"/>
              </w:rPr>
              <w:t>Mode</w:t>
            </w:r>
          </w:p>
        </w:tc>
        <w:tc>
          <w:tcPr>
            <w:tcW w:w="1233" w:type="dxa"/>
            <w:tcBorders>
              <w:left w:val="nil"/>
              <w:bottom w:val="nil"/>
              <w:right w:val="nil"/>
            </w:tcBorders>
          </w:tcPr>
          <w:p w14:paraId="7B39ECDA" w14:textId="72A9D308" w:rsidR="008E080B" w:rsidRPr="006A3DE8" w:rsidRDefault="008E080B" w:rsidP="008E080B">
            <w:pPr>
              <w:pStyle w:val="NoSpacing"/>
              <w:ind w:firstLine="0"/>
              <w:rPr>
                <w:szCs w:val="20"/>
                <w:lang w:val="en-US"/>
              </w:rPr>
            </w:pPr>
            <w:r w:rsidRPr="006A3DE8">
              <w:rPr>
                <w:szCs w:val="20"/>
                <w:lang w:val="en-US"/>
              </w:rPr>
              <w:t>303</w:t>
            </w:r>
          </w:p>
        </w:tc>
        <w:tc>
          <w:tcPr>
            <w:tcW w:w="1133" w:type="dxa"/>
            <w:tcBorders>
              <w:left w:val="nil"/>
              <w:bottom w:val="nil"/>
              <w:right w:val="nil"/>
            </w:tcBorders>
          </w:tcPr>
          <w:p w14:paraId="3210FE25" w14:textId="07CA6965" w:rsidR="008E080B" w:rsidRPr="006A3DE8" w:rsidRDefault="008E080B" w:rsidP="008E080B">
            <w:pPr>
              <w:pStyle w:val="NoSpacing"/>
              <w:ind w:firstLine="0"/>
              <w:rPr>
                <w:b/>
                <w:bCs/>
                <w:szCs w:val="20"/>
                <w:lang w:val="en-US"/>
              </w:rPr>
            </w:pPr>
            <w:r w:rsidRPr="006A3DE8">
              <w:rPr>
                <w:b/>
                <w:bCs/>
                <w:szCs w:val="20"/>
                <w:lang w:val="en-US"/>
              </w:rPr>
              <w:t>0.32</w:t>
            </w:r>
          </w:p>
        </w:tc>
        <w:tc>
          <w:tcPr>
            <w:tcW w:w="1233" w:type="dxa"/>
            <w:tcBorders>
              <w:left w:val="nil"/>
              <w:bottom w:val="nil"/>
              <w:right w:val="nil"/>
            </w:tcBorders>
          </w:tcPr>
          <w:p w14:paraId="50F2A6B6" w14:textId="5FD59329" w:rsidR="008E080B" w:rsidRPr="006A3DE8" w:rsidRDefault="008E080B" w:rsidP="008E080B">
            <w:pPr>
              <w:pStyle w:val="NoSpacing"/>
              <w:ind w:firstLine="0"/>
              <w:rPr>
                <w:szCs w:val="20"/>
                <w:lang w:val="en-US"/>
              </w:rPr>
            </w:pPr>
            <w:r w:rsidRPr="006A3DE8">
              <w:rPr>
                <w:szCs w:val="20"/>
                <w:lang w:val="en-US"/>
              </w:rPr>
              <w:t>119</w:t>
            </w:r>
          </w:p>
        </w:tc>
        <w:tc>
          <w:tcPr>
            <w:tcW w:w="1409" w:type="dxa"/>
            <w:tcBorders>
              <w:left w:val="nil"/>
              <w:bottom w:val="nil"/>
              <w:right w:val="nil"/>
            </w:tcBorders>
          </w:tcPr>
          <w:p w14:paraId="78C1F512" w14:textId="185C4DEA" w:rsidR="008E080B" w:rsidRPr="006A3DE8" w:rsidRDefault="008E080B" w:rsidP="008E080B">
            <w:pPr>
              <w:pStyle w:val="NoSpacing"/>
              <w:ind w:firstLine="0"/>
              <w:rPr>
                <w:szCs w:val="20"/>
                <w:lang w:val="en-US"/>
              </w:rPr>
            </w:pPr>
            <w:r w:rsidRPr="006A3DE8">
              <w:rPr>
                <w:szCs w:val="20"/>
                <w:lang w:val="en-US"/>
              </w:rPr>
              <w:t>0.34</w:t>
            </w:r>
          </w:p>
        </w:tc>
        <w:tc>
          <w:tcPr>
            <w:tcW w:w="1409" w:type="dxa"/>
            <w:tcBorders>
              <w:left w:val="nil"/>
              <w:bottom w:val="nil"/>
              <w:right w:val="single" w:sz="4" w:space="0" w:color="auto"/>
            </w:tcBorders>
          </w:tcPr>
          <w:p w14:paraId="37BFCC36" w14:textId="508A0C03" w:rsidR="008E080B" w:rsidRPr="006A3DE8" w:rsidRDefault="008E080B" w:rsidP="008E080B">
            <w:pPr>
              <w:pStyle w:val="NoSpacing"/>
              <w:ind w:firstLine="0"/>
              <w:rPr>
                <w:szCs w:val="20"/>
                <w:lang w:val="en-US"/>
              </w:rPr>
            </w:pPr>
            <w:r w:rsidRPr="006A3DE8">
              <w:rPr>
                <w:szCs w:val="20"/>
                <w:lang w:val="en-US"/>
              </w:rPr>
              <w:t>159</w:t>
            </w:r>
          </w:p>
        </w:tc>
      </w:tr>
      <w:tr w:rsidR="008E080B" w:rsidRPr="006A3DE8" w14:paraId="038450B3" w14:textId="786D175D" w:rsidTr="00C73672">
        <w:trPr>
          <w:trHeight w:val="277"/>
        </w:trPr>
        <w:tc>
          <w:tcPr>
            <w:tcW w:w="1039" w:type="dxa"/>
            <w:vMerge/>
            <w:tcBorders>
              <w:top w:val="nil"/>
              <w:bottom w:val="nil"/>
              <w:right w:val="nil"/>
            </w:tcBorders>
          </w:tcPr>
          <w:p w14:paraId="7662553C" w14:textId="2C584902" w:rsidR="008E080B" w:rsidRPr="006A3DE8" w:rsidRDefault="008E080B" w:rsidP="008E080B">
            <w:pPr>
              <w:pStyle w:val="NoSpacing"/>
              <w:ind w:firstLine="0"/>
              <w:rPr>
                <w:szCs w:val="20"/>
                <w:lang w:val="en-US"/>
              </w:rPr>
            </w:pPr>
          </w:p>
        </w:tc>
        <w:tc>
          <w:tcPr>
            <w:tcW w:w="1305" w:type="dxa"/>
            <w:tcBorders>
              <w:top w:val="nil"/>
              <w:left w:val="nil"/>
              <w:bottom w:val="nil"/>
              <w:right w:val="nil"/>
            </w:tcBorders>
          </w:tcPr>
          <w:p w14:paraId="07D57008" w14:textId="18C20483" w:rsidR="008E080B" w:rsidRPr="006A3DE8" w:rsidRDefault="008E080B" w:rsidP="008E080B">
            <w:pPr>
              <w:pStyle w:val="NoSpacing"/>
              <w:ind w:firstLine="0"/>
              <w:rPr>
                <w:szCs w:val="20"/>
                <w:lang w:val="en-US"/>
              </w:rPr>
            </w:pPr>
            <w:r w:rsidRPr="006A3DE8">
              <w:rPr>
                <w:szCs w:val="20"/>
                <w:lang w:val="en-US"/>
              </w:rPr>
              <w:t>Median</w:t>
            </w:r>
          </w:p>
        </w:tc>
        <w:tc>
          <w:tcPr>
            <w:tcW w:w="1233" w:type="dxa"/>
            <w:tcBorders>
              <w:top w:val="nil"/>
              <w:left w:val="nil"/>
              <w:bottom w:val="nil"/>
              <w:right w:val="nil"/>
            </w:tcBorders>
          </w:tcPr>
          <w:p w14:paraId="5A557F98" w14:textId="481D8AC9" w:rsidR="008E080B" w:rsidRPr="006A3DE8" w:rsidRDefault="008E080B" w:rsidP="008E080B">
            <w:pPr>
              <w:pStyle w:val="NoSpacing"/>
              <w:ind w:firstLine="0"/>
              <w:rPr>
                <w:szCs w:val="20"/>
                <w:lang w:val="en-US"/>
              </w:rPr>
            </w:pPr>
            <w:r w:rsidRPr="006A3DE8">
              <w:rPr>
                <w:szCs w:val="20"/>
                <w:lang w:val="en-US"/>
              </w:rPr>
              <w:t>355</w:t>
            </w:r>
          </w:p>
        </w:tc>
        <w:tc>
          <w:tcPr>
            <w:tcW w:w="1133" w:type="dxa"/>
            <w:tcBorders>
              <w:top w:val="nil"/>
              <w:left w:val="nil"/>
              <w:bottom w:val="nil"/>
              <w:right w:val="nil"/>
            </w:tcBorders>
          </w:tcPr>
          <w:p w14:paraId="356CE2BF" w14:textId="78406AFE" w:rsidR="008E080B" w:rsidRPr="006A3DE8" w:rsidRDefault="008E080B" w:rsidP="008E080B">
            <w:pPr>
              <w:pStyle w:val="NoSpacing"/>
              <w:ind w:firstLine="0"/>
              <w:rPr>
                <w:szCs w:val="20"/>
                <w:lang w:val="en-US"/>
              </w:rPr>
            </w:pPr>
            <w:r w:rsidRPr="006A3DE8">
              <w:rPr>
                <w:szCs w:val="20"/>
                <w:lang w:val="en-US"/>
              </w:rPr>
              <w:t>0.34</w:t>
            </w:r>
          </w:p>
        </w:tc>
        <w:tc>
          <w:tcPr>
            <w:tcW w:w="1233" w:type="dxa"/>
            <w:tcBorders>
              <w:top w:val="nil"/>
              <w:left w:val="nil"/>
              <w:bottom w:val="nil"/>
              <w:right w:val="nil"/>
            </w:tcBorders>
          </w:tcPr>
          <w:p w14:paraId="2D438E48" w14:textId="7E84BD8F" w:rsidR="008E080B" w:rsidRPr="006A3DE8" w:rsidRDefault="008E080B" w:rsidP="008E080B">
            <w:pPr>
              <w:pStyle w:val="NoSpacing"/>
              <w:ind w:firstLine="0"/>
              <w:rPr>
                <w:b/>
                <w:bCs/>
                <w:szCs w:val="20"/>
                <w:lang w:val="en-US"/>
              </w:rPr>
            </w:pPr>
            <w:r w:rsidRPr="006A3DE8">
              <w:rPr>
                <w:b/>
                <w:bCs/>
                <w:szCs w:val="20"/>
                <w:lang w:val="en-US"/>
              </w:rPr>
              <w:t>110</w:t>
            </w:r>
          </w:p>
        </w:tc>
        <w:tc>
          <w:tcPr>
            <w:tcW w:w="1409" w:type="dxa"/>
            <w:tcBorders>
              <w:top w:val="nil"/>
              <w:left w:val="nil"/>
              <w:bottom w:val="nil"/>
              <w:right w:val="nil"/>
            </w:tcBorders>
          </w:tcPr>
          <w:p w14:paraId="4FB3AAA1" w14:textId="51ED9187" w:rsidR="008E080B" w:rsidRPr="006A3DE8" w:rsidRDefault="008E080B" w:rsidP="008E080B">
            <w:pPr>
              <w:pStyle w:val="NoSpacing"/>
              <w:ind w:firstLine="0"/>
              <w:rPr>
                <w:b/>
                <w:bCs/>
                <w:szCs w:val="20"/>
                <w:lang w:val="en-US"/>
              </w:rPr>
            </w:pPr>
            <w:r w:rsidRPr="006A3DE8">
              <w:rPr>
                <w:b/>
                <w:bCs/>
                <w:szCs w:val="20"/>
                <w:lang w:val="en-US"/>
              </w:rPr>
              <w:t>0.31</w:t>
            </w:r>
          </w:p>
        </w:tc>
        <w:tc>
          <w:tcPr>
            <w:tcW w:w="1409" w:type="dxa"/>
            <w:tcBorders>
              <w:top w:val="nil"/>
              <w:left w:val="nil"/>
              <w:bottom w:val="nil"/>
              <w:right w:val="single" w:sz="4" w:space="0" w:color="auto"/>
            </w:tcBorders>
          </w:tcPr>
          <w:p w14:paraId="200C5AAE" w14:textId="5AFBAE79" w:rsidR="008E080B" w:rsidRPr="006A3DE8" w:rsidRDefault="008E080B" w:rsidP="008E080B">
            <w:pPr>
              <w:pStyle w:val="NoSpacing"/>
              <w:ind w:firstLine="0"/>
              <w:rPr>
                <w:b/>
                <w:bCs/>
                <w:szCs w:val="20"/>
                <w:lang w:val="en-US"/>
              </w:rPr>
            </w:pPr>
            <w:r w:rsidRPr="006A3DE8">
              <w:rPr>
                <w:szCs w:val="20"/>
                <w:lang w:val="en-US"/>
              </w:rPr>
              <w:t>145</w:t>
            </w:r>
          </w:p>
        </w:tc>
      </w:tr>
      <w:tr w:rsidR="008E080B" w:rsidRPr="006A3DE8" w14:paraId="530C5C17" w14:textId="35B86AD5" w:rsidTr="00C73672">
        <w:trPr>
          <w:trHeight w:val="290"/>
        </w:trPr>
        <w:tc>
          <w:tcPr>
            <w:tcW w:w="1039" w:type="dxa"/>
            <w:vMerge/>
            <w:tcBorders>
              <w:top w:val="nil"/>
              <w:bottom w:val="single" w:sz="4" w:space="0" w:color="auto"/>
              <w:right w:val="nil"/>
            </w:tcBorders>
          </w:tcPr>
          <w:p w14:paraId="061899E1" w14:textId="4E080832" w:rsidR="008E080B" w:rsidRPr="006A3DE8" w:rsidRDefault="008E080B" w:rsidP="008E080B">
            <w:pPr>
              <w:pStyle w:val="NoSpacing"/>
              <w:ind w:firstLine="0"/>
              <w:rPr>
                <w:szCs w:val="20"/>
                <w:lang w:val="en-US"/>
              </w:rPr>
            </w:pPr>
          </w:p>
        </w:tc>
        <w:tc>
          <w:tcPr>
            <w:tcW w:w="1305" w:type="dxa"/>
            <w:tcBorders>
              <w:top w:val="nil"/>
              <w:left w:val="nil"/>
              <w:bottom w:val="single" w:sz="4" w:space="0" w:color="auto"/>
              <w:right w:val="nil"/>
            </w:tcBorders>
          </w:tcPr>
          <w:p w14:paraId="4BA4C759" w14:textId="2EC24E27" w:rsidR="008E080B" w:rsidRPr="006A3DE8" w:rsidRDefault="008E080B" w:rsidP="008E080B">
            <w:pPr>
              <w:pStyle w:val="NoSpacing"/>
              <w:ind w:firstLine="0"/>
              <w:rPr>
                <w:szCs w:val="20"/>
                <w:lang w:val="en-US"/>
              </w:rPr>
            </w:pPr>
            <w:r w:rsidRPr="006A3DE8">
              <w:rPr>
                <w:szCs w:val="20"/>
                <w:lang w:val="en-US"/>
              </w:rPr>
              <w:t>Mean</w:t>
            </w:r>
          </w:p>
        </w:tc>
        <w:tc>
          <w:tcPr>
            <w:tcW w:w="1233" w:type="dxa"/>
            <w:tcBorders>
              <w:top w:val="nil"/>
              <w:left w:val="nil"/>
              <w:bottom w:val="single" w:sz="4" w:space="0" w:color="auto"/>
              <w:right w:val="nil"/>
            </w:tcBorders>
          </w:tcPr>
          <w:p w14:paraId="0DE14417" w14:textId="5DF8A242" w:rsidR="008E080B" w:rsidRPr="006A3DE8" w:rsidRDefault="008E080B" w:rsidP="008E080B">
            <w:pPr>
              <w:pStyle w:val="NoSpacing"/>
              <w:ind w:firstLine="0"/>
              <w:rPr>
                <w:szCs w:val="20"/>
                <w:lang w:val="en-US"/>
              </w:rPr>
            </w:pPr>
            <w:r w:rsidRPr="006A3DE8">
              <w:rPr>
                <w:szCs w:val="20"/>
                <w:lang w:val="en-US"/>
              </w:rPr>
              <w:t>373</w:t>
            </w:r>
          </w:p>
        </w:tc>
        <w:tc>
          <w:tcPr>
            <w:tcW w:w="1133" w:type="dxa"/>
            <w:tcBorders>
              <w:top w:val="nil"/>
              <w:left w:val="nil"/>
              <w:bottom w:val="single" w:sz="4" w:space="0" w:color="auto"/>
              <w:right w:val="nil"/>
            </w:tcBorders>
          </w:tcPr>
          <w:p w14:paraId="78D3FEB6" w14:textId="1D0CC4A9" w:rsidR="008E080B" w:rsidRPr="006A3DE8" w:rsidRDefault="008E080B" w:rsidP="008E080B">
            <w:pPr>
              <w:pStyle w:val="NoSpacing"/>
              <w:ind w:firstLine="0"/>
              <w:rPr>
                <w:szCs w:val="20"/>
                <w:lang w:val="en-US"/>
              </w:rPr>
            </w:pPr>
            <w:r w:rsidRPr="006A3DE8">
              <w:rPr>
                <w:szCs w:val="20"/>
                <w:lang w:val="en-US"/>
              </w:rPr>
              <w:t>0.37</w:t>
            </w:r>
          </w:p>
        </w:tc>
        <w:tc>
          <w:tcPr>
            <w:tcW w:w="1233" w:type="dxa"/>
            <w:tcBorders>
              <w:top w:val="nil"/>
              <w:left w:val="nil"/>
              <w:bottom w:val="single" w:sz="4" w:space="0" w:color="auto"/>
              <w:right w:val="nil"/>
            </w:tcBorders>
          </w:tcPr>
          <w:p w14:paraId="77DF923C" w14:textId="0C18C4C7" w:rsidR="008E080B" w:rsidRPr="006A3DE8" w:rsidRDefault="008E080B" w:rsidP="008E080B">
            <w:pPr>
              <w:pStyle w:val="NoSpacing"/>
              <w:ind w:firstLine="0"/>
              <w:rPr>
                <w:szCs w:val="20"/>
                <w:lang w:val="en-US"/>
              </w:rPr>
            </w:pPr>
            <w:r w:rsidRPr="006A3DE8">
              <w:rPr>
                <w:szCs w:val="20"/>
                <w:lang w:val="en-US"/>
              </w:rPr>
              <w:t>114</w:t>
            </w:r>
          </w:p>
        </w:tc>
        <w:tc>
          <w:tcPr>
            <w:tcW w:w="1409" w:type="dxa"/>
            <w:tcBorders>
              <w:top w:val="nil"/>
              <w:left w:val="nil"/>
              <w:bottom w:val="single" w:sz="4" w:space="0" w:color="auto"/>
              <w:right w:val="nil"/>
            </w:tcBorders>
          </w:tcPr>
          <w:p w14:paraId="51E0B06F" w14:textId="10978B5C" w:rsidR="008E080B" w:rsidRPr="006A3DE8" w:rsidRDefault="008E080B" w:rsidP="008E080B">
            <w:pPr>
              <w:pStyle w:val="NoSpacing"/>
              <w:ind w:firstLine="0"/>
              <w:rPr>
                <w:szCs w:val="20"/>
                <w:lang w:val="en-US"/>
              </w:rPr>
            </w:pPr>
            <w:r w:rsidRPr="006A3DE8">
              <w:rPr>
                <w:szCs w:val="20"/>
                <w:lang w:val="en-US"/>
              </w:rPr>
              <w:t>0.32</w:t>
            </w:r>
          </w:p>
        </w:tc>
        <w:tc>
          <w:tcPr>
            <w:tcW w:w="1409" w:type="dxa"/>
            <w:tcBorders>
              <w:top w:val="nil"/>
              <w:left w:val="nil"/>
              <w:bottom w:val="single" w:sz="4" w:space="0" w:color="auto"/>
              <w:right w:val="single" w:sz="4" w:space="0" w:color="auto"/>
            </w:tcBorders>
          </w:tcPr>
          <w:p w14:paraId="2907BB20" w14:textId="04613A91" w:rsidR="008E080B" w:rsidRPr="006A3DE8" w:rsidRDefault="008E080B" w:rsidP="008E080B">
            <w:pPr>
              <w:pStyle w:val="NoSpacing"/>
              <w:ind w:firstLine="0"/>
              <w:rPr>
                <w:szCs w:val="20"/>
                <w:lang w:val="en-US"/>
              </w:rPr>
            </w:pPr>
            <w:r w:rsidRPr="006A3DE8">
              <w:rPr>
                <w:b/>
                <w:bCs/>
                <w:szCs w:val="20"/>
                <w:lang w:val="en-US"/>
              </w:rPr>
              <w:t>144</w:t>
            </w:r>
          </w:p>
        </w:tc>
      </w:tr>
      <w:tr w:rsidR="008E080B" w:rsidRPr="006A3DE8" w14:paraId="60C9AB13" w14:textId="0642C7F2" w:rsidTr="00C73672">
        <w:trPr>
          <w:trHeight w:val="290"/>
        </w:trPr>
        <w:tc>
          <w:tcPr>
            <w:tcW w:w="1039" w:type="dxa"/>
            <w:vMerge w:val="restart"/>
            <w:tcBorders>
              <w:bottom w:val="nil"/>
              <w:right w:val="nil"/>
            </w:tcBorders>
          </w:tcPr>
          <w:p w14:paraId="6AD38D81" w14:textId="47336B76" w:rsidR="008E080B" w:rsidRPr="006A3DE8" w:rsidRDefault="008E080B" w:rsidP="008E080B">
            <w:pPr>
              <w:pStyle w:val="NoSpacing"/>
              <w:ind w:firstLine="0"/>
              <w:rPr>
                <w:szCs w:val="20"/>
                <w:lang w:val="en-US"/>
              </w:rPr>
            </w:pPr>
            <w:r w:rsidRPr="006A3DE8">
              <w:rPr>
                <w:szCs w:val="20"/>
                <w:lang w:val="en-US"/>
              </w:rPr>
              <w:t>Task 2</w:t>
            </w:r>
          </w:p>
        </w:tc>
        <w:tc>
          <w:tcPr>
            <w:tcW w:w="1305" w:type="dxa"/>
            <w:tcBorders>
              <w:left w:val="nil"/>
              <w:bottom w:val="nil"/>
              <w:right w:val="nil"/>
            </w:tcBorders>
          </w:tcPr>
          <w:p w14:paraId="5BABB106" w14:textId="4C528427" w:rsidR="008E080B" w:rsidRPr="006A3DE8" w:rsidRDefault="008E080B" w:rsidP="008E080B">
            <w:pPr>
              <w:pStyle w:val="NoSpacing"/>
              <w:ind w:firstLine="0"/>
              <w:rPr>
                <w:szCs w:val="20"/>
                <w:lang w:val="en-US"/>
              </w:rPr>
            </w:pPr>
            <w:r w:rsidRPr="006A3DE8">
              <w:rPr>
                <w:szCs w:val="20"/>
                <w:lang w:val="en-US"/>
              </w:rPr>
              <w:t>Mode</w:t>
            </w:r>
          </w:p>
        </w:tc>
        <w:tc>
          <w:tcPr>
            <w:tcW w:w="1233" w:type="dxa"/>
            <w:tcBorders>
              <w:left w:val="nil"/>
              <w:bottom w:val="nil"/>
              <w:right w:val="nil"/>
            </w:tcBorders>
          </w:tcPr>
          <w:p w14:paraId="47584984" w14:textId="7FA8543A" w:rsidR="008E080B" w:rsidRPr="006A3DE8" w:rsidRDefault="008E080B" w:rsidP="008E080B">
            <w:pPr>
              <w:pStyle w:val="NoSpacing"/>
              <w:ind w:firstLine="0"/>
              <w:rPr>
                <w:szCs w:val="20"/>
                <w:lang w:val="en-US"/>
              </w:rPr>
            </w:pPr>
            <w:r w:rsidRPr="006A3DE8">
              <w:rPr>
                <w:szCs w:val="20"/>
                <w:lang w:val="en-US"/>
              </w:rPr>
              <w:t>176</w:t>
            </w:r>
          </w:p>
        </w:tc>
        <w:tc>
          <w:tcPr>
            <w:tcW w:w="1133" w:type="dxa"/>
            <w:tcBorders>
              <w:left w:val="nil"/>
              <w:bottom w:val="nil"/>
              <w:right w:val="nil"/>
            </w:tcBorders>
          </w:tcPr>
          <w:p w14:paraId="50E890B0" w14:textId="15FDDEC8" w:rsidR="008E080B" w:rsidRPr="006A3DE8" w:rsidRDefault="008E080B" w:rsidP="008E080B">
            <w:pPr>
              <w:pStyle w:val="NoSpacing"/>
              <w:ind w:firstLine="0"/>
              <w:rPr>
                <w:szCs w:val="20"/>
                <w:lang w:val="en-US"/>
              </w:rPr>
            </w:pPr>
            <w:r w:rsidRPr="006A3DE8">
              <w:rPr>
                <w:szCs w:val="20"/>
                <w:lang w:val="en-US"/>
              </w:rPr>
              <w:t>0.33</w:t>
            </w:r>
          </w:p>
        </w:tc>
        <w:tc>
          <w:tcPr>
            <w:tcW w:w="1233" w:type="dxa"/>
            <w:tcBorders>
              <w:left w:val="nil"/>
              <w:bottom w:val="nil"/>
              <w:right w:val="nil"/>
            </w:tcBorders>
          </w:tcPr>
          <w:p w14:paraId="05038F7A" w14:textId="43642D5D" w:rsidR="008E080B" w:rsidRPr="006A3DE8" w:rsidRDefault="008E080B" w:rsidP="008E080B">
            <w:pPr>
              <w:pStyle w:val="NoSpacing"/>
              <w:ind w:firstLine="0"/>
              <w:rPr>
                <w:szCs w:val="20"/>
                <w:lang w:val="en-US"/>
              </w:rPr>
            </w:pPr>
            <w:r w:rsidRPr="006A3DE8">
              <w:rPr>
                <w:szCs w:val="20"/>
                <w:lang w:val="en-US"/>
              </w:rPr>
              <w:t>120</w:t>
            </w:r>
          </w:p>
        </w:tc>
        <w:tc>
          <w:tcPr>
            <w:tcW w:w="1409" w:type="dxa"/>
            <w:tcBorders>
              <w:left w:val="nil"/>
              <w:bottom w:val="nil"/>
              <w:right w:val="nil"/>
            </w:tcBorders>
          </w:tcPr>
          <w:p w14:paraId="4DB414CF" w14:textId="3AF45A2A" w:rsidR="008E080B" w:rsidRPr="006A3DE8" w:rsidRDefault="008E080B" w:rsidP="008E080B">
            <w:pPr>
              <w:pStyle w:val="NoSpacing"/>
              <w:ind w:firstLine="0"/>
              <w:rPr>
                <w:szCs w:val="20"/>
                <w:lang w:val="en-US"/>
              </w:rPr>
            </w:pPr>
            <w:r w:rsidRPr="006A3DE8">
              <w:rPr>
                <w:szCs w:val="20"/>
                <w:lang w:val="en-US"/>
              </w:rPr>
              <w:t>0.45</w:t>
            </w:r>
          </w:p>
        </w:tc>
        <w:tc>
          <w:tcPr>
            <w:tcW w:w="1409" w:type="dxa"/>
            <w:tcBorders>
              <w:left w:val="nil"/>
              <w:bottom w:val="nil"/>
              <w:right w:val="single" w:sz="4" w:space="0" w:color="auto"/>
            </w:tcBorders>
          </w:tcPr>
          <w:p w14:paraId="7FE72DBE" w14:textId="211081A7" w:rsidR="008E080B" w:rsidRPr="006A3DE8" w:rsidRDefault="008E080B" w:rsidP="008E080B">
            <w:pPr>
              <w:pStyle w:val="NoSpacing"/>
              <w:ind w:firstLine="0"/>
              <w:rPr>
                <w:szCs w:val="20"/>
                <w:lang w:val="en-US"/>
              </w:rPr>
            </w:pPr>
            <w:r w:rsidRPr="006A3DE8">
              <w:rPr>
                <w:szCs w:val="20"/>
                <w:lang w:val="en-US"/>
              </w:rPr>
              <w:t>178</w:t>
            </w:r>
          </w:p>
        </w:tc>
      </w:tr>
      <w:tr w:rsidR="008E080B" w:rsidRPr="006A3DE8" w14:paraId="491567C1" w14:textId="72C5F287" w:rsidTr="00C73672">
        <w:trPr>
          <w:trHeight w:val="290"/>
        </w:trPr>
        <w:tc>
          <w:tcPr>
            <w:tcW w:w="1039" w:type="dxa"/>
            <w:vMerge/>
            <w:tcBorders>
              <w:top w:val="nil"/>
              <w:bottom w:val="nil"/>
              <w:right w:val="nil"/>
            </w:tcBorders>
          </w:tcPr>
          <w:p w14:paraId="1C35B979" w14:textId="691D8AA1" w:rsidR="008E080B" w:rsidRPr="006A3DE8" w:rsidRDefault="008E080B" w:rsidP="008E080B">
            <w:pPr>
              <w:pStyle w:val="NoSpacing"/>
              <w:ind w:firstLine="0"/>
              <w:rPr>
                <w:szCs w:val="20"/>
                <w:lang w:val="en-US"/>
              </w:rPr>
            </w:pPr>
          </w:p>
        </w:tc>
        <w:tc>
          <w:tcPr>
            <w:tcW w:w="1305" w:type="dxa"/>
            <w:tcBorders>
              <w:top w:val="nil"/>
              <w:left w:val="nil"/>
              <w:bottom w:val="nil"/>
              <w:right w:val="nil"/>
            </w:tcBorders>
          </w:tcPr>
          <w:p w14:paraId="47C47F6C" w14:textId="14A4B033" w:rsidR="008E080B" w:rsidRPr="006A3DE8" w:rsidRDefault="008E080B" w:rsidP="008E080B">
            <w:pPr>
              <w:pStyle w:val="NoSpacing"/>
              <w:ind w:firstLine="0"/>
              <w:rPr>
                <w:szCs w:val="20"/>
                <w:lang w:val="en-US"/>
              </w:rPr>
            </w:pPr>
            <w:r w:rsidRPr="006A3DE8">
              <w:rPr>
                <w:szCs w:val="20"/>
                <w:lang w:val="en-US"/>
              </w:rPr>
              <w:t>Median</w:t>
            </w:r>
          </w:p>
        </w:tc>
        <w:tc>
          <w:tcPr>
            <w:tcW w:w="1233" w:type="dxa"/>
            <w:tcBorders>
              <w:top w:val="nil"/>
              <w:left w:val="nil"/>
              <w:bottom w:val="nil"/>
              <w:right w:val="nil"/>
            </w:tcBorders>
          </w:tcPr>
          <w:p w14:paraId="768C9224" w14:textId="4200C2E6" w:rsidR="008E080B" w:rsidRPr="006A3DE8" w:rsidRDefault="008E080B" w:rsidP="008E080B">
            <w:pPr>
              <w:pStyle w:val="NoSpacing"/>
              <w:ind w:firstLine="0"/>
              <w:rPr>
                <w:szCs w:val="20"/>
                <w:lang w:val="en-US"/>
              </w:rPr>
            </w:pPr>
            <w:r w:rsidRPr="006A3DE8">
              <w:rPr>
                <w:szCs w:val="20"/>
                <w:lang w:val="en-US"/>
              </w:rPr>
              <w:t>233</w:t>
            </w:r>
          </w:p>
        </w:tc>
        <w:tc>
          <w:tcPr>
            <w:tcW w:w="1133" w:type="dxa"/>
            <w:tcBorders>
              <w:top w:val="nil"/>
              <w:left w:val="nil"/>
              <w:bottom w:val="nil"/>
              <w:right w:val="nil"/>
            </w:tcBorders>
          </w:tcPr>
          <w:p w14:paraId="541905A3" w14:textId="210922E6" w:rsidR="008E080B" w:rsidRPr="006A3DE8" w:rsidRDefault="008E080B" w:rsidP="008E080B">
            <w:pPr>
              <w:pStyle w:val="NoSpacing"/>
              <w:ind w:firstLine="0"/>
              <w:rPr>
                <w:b/>
                <w:bCs/>
                <w:szCs w:val="20"/>
                <w:lang w:val="en-US"/>
              </w:rPr>
            </w:pPr>
            <w:r w:rsidRPr="006A3DE8">
              <w:rPr>
                <w:b/>
                <w:bCs/>
                <w:szCs w:val="20"/>
                <w:lang w:val="en-US"/>
              </w:rPr>
              <w:t>0.31</w:t>
            </w:r>
          </w:p>
        </w:tc>
        <w:tc>
          <w:tcPr>
            <w:tcW w:w="1233" w:type="dxa"/>
            <w:tcBorders>
              <w:top w:val="nil"/>
              <w:left w:val="nil"/>
              <w:bottom w:val="nil"/>
              <w:right w:val="nil"/>
            </w:tcBorders>
          </w:tcPr>
          <w:p w14:paraId="5EFA1E45" w14:textId="3ABE7C43" w:rsidR="008E080B" w:rsidRPr="006A3DE8" w:rsidRDefault="008E080B" w:rsidP="008E080B">
            <w:pPr>
              <w:pStyle w:val="NoSpacing"/>
              <w:ind w:firstLine="0"/>
              <w:rPr>
                <w:b/>
                <w:bCs/>
                <w:szCs w:val="20"/>
                <w:lang w:val="en-US"/>
              </w:rPr>
            </w:pPr>
            <w:r w:rsidRPr="006A3DE8">
              <w:rPr>
                <w:b/>
                <w:bCs/>
                <w:szCs w:val="20"/>
                <w:lang w:val="en-US"/>
              </w:rPr>
              <w:t>98</w:t>
            </w:r>
          </w:p>
        </w:tc>
        <w:tc>
          <w:tcPr>
            <w:tcW w:w="1409" w:type="dxa"/>
            <w:tcBorders>
              <w:top w:val="nil"/>
              <w:left w:val="nil"/>
              <w:bottom w:val="nil"/>
              <w:right w:val="nil"/>
            </w:tcBorders>
          </w:tcPr>
          <w:p w14:paraId="053A1ACC" w14:textId="6DFEECEC" w:rsidR="008E080B" w:rsidRPr="006A3DE8" w:rsidRDefault="008E080B" w:rsidP="008E080B">
            <w:pPr>
              <w:pStyle w:val="NoSpacing"/>
              <w:ind w:firstLine="0"/>
              <w:rPr>
                <w:b/>
                <w:bCs/>
                <w:szCs w:val="20"/>
                <w:lang w:val="en-US"/>
              </w:rPr>
            </w:pPr>
            <w:r w:rsidRPr="006A3DE8">
              <w:rPr>
                <w:b/>
                <w:bCs/>
                <w:szCs w:val="20"/>
                <w:lang w:val="en-US"/>
              </w:rPr>
              <w:t>0.34</w:t>
            </w:r>
          </w:p>
        </w:tc>
        <w:tc>
          <w:tcPr>
            <w:tcW w:w="1409" w:type="dxa"/>
            <w:tcBorders>
              <w:top w:val="nil"/>
              <w:left w:val="nil"/>
              <w:bottom w:val="nil"/>
              <w:right w:val="single" w:sz="4" w:space="0" w:color="auto"/>
            </w:tcBorders>
          </w:tcPr>
          <w:p w14:paraId="4EDD358A" w14:textId="114AA742" w:rsidR="008E080B" w:rsidRPr="006A3DE8" w:rsidRDefault="008E080B" w:rsidP="008E080B">
            <w:pPr>
              <w:pStyle w:val="NoSpacing"/>
              <w:ind w:firstLine="0"/>
              <w:rPr>
                <w:b/>
                <w:bCs/>
                <w:szCs w:val="20"/>
                <w:lang w:val="en-US"/>
              </w:rPr>
            </w:pPr>
            <w:r w:rsidRPr="006A3DE8">
              <w:rPr>
                <w:szCs w:val="20"/>
                <w:lang w:val="en-US"/>
              </w:rPr>
              <w:t>149</w:t>
            </w:r>
          </w:p>
        </w:tc>
      </w:tr>
      <w:tr w:rsidR="008E080B" w:rsidRPr="006A3DE8" w14:paraId="7CDCBA00" w14:textId="34E5A94A" w:rsidTr="009A32EF">
        <w:trPr>
          <w:trHeight w:val="290"/>
        </w:trPr>
        <w:tc>
          <w:tcPr>
            <w:tcW w:w="1039" w:type="dxa"/>
            <w:vMerge/>
            <w:tcBorders>
              <w:top w:val="nil"/>
              <w:bottom w:val="single" w:sz="4" w:space="0" w:color="auto"/>
              <w:right w:val="nil"/>
            </w:tcBorders>
          </w:tcPr>
          <w:p w14:paraId="01C9937B" w14:textId="77777777" w:rsidR="008E080B" w:rsidRPr="006A3DE8" w:rsidRDefault="008E080B" w:rsidP="008E080B">
            <w:pPr>
              <w:pStyle w:val="NoSpacing"/>
              <w:ind w:firstLine="0"/>
              <w:rPr>
                <w:szCs w:val="20"/>
                <w:lang w:val="en-US"/>
              </w:rPr>
            </w:pPr>
          </w:p>
        </w:tc>
        <w:tc>
          <w:tcPr>
            <w:tcW w:w="1305" w:type="dxa"/>
            <w:tcBorders>
              <w:top w:val="nil"/>
              <w:left w:val="nil"/>
              <w:bottom w:val="single" w:sz="4" w:space="0" w:color="auto"/>
              <w:right w:val="nil"/>
            </w:tcBorders>
          </w:tcPr>
          <w:p w14:paraId="2D2B84AA" w14:textId="0D085AD0" w:rsidR="008E080B" w:rsidRPr="006A3DE8" w:rsidRDefault="008E080B" w:rsidP="008E080B">
            <w:pPr>
              <w:pStyle w:val="NoSpacing"/>
              <w:ind w:firstLine="0"/>
              <w:rPr>
                <w:szCs w:val="20"/>
                <w:lang w:val="en-US"/>
              </w:rPr>
            </w:pPr>
            <w:r w:rsidRPr="006A3DE8">
              <w:rPr>
                <w:szCs w:val="20"/>
                <w:lang w:val="en-US"/>
              </w:rPr>
              <w:t>Mean</w:t>
            </w:r>
          </w:p>
        </w:tc>
        <w:tc>
          <w:tcPr>
            <w:tcW w:w="1233" w:type="dxa"/>
            <w:tcBorders>
              <w:top w:val="nil"/>
              <w:left w:val="nil"/>
              <w:bottom w:val="single" w:sz="4" w:space="0" w:color="auto"/>
              <w:right w:val="nil"/>
            </w:tcBorders>
          </w:tcPr>
          <w:p w14:paraId="737A4B18" w14:textId="1FF12134" w:rsidR="008E080B" w:rsidRPr="006A3DE8" w:rsidRDefault="008E080B" w:rsidP="008E080B">
            <w:pPr>
              <w:pStyle w:val="NoSpacing"/>
              <w:ind w:firstLine="0"/>
              <w:rPr>
                <w:szCs w:val="20"/>
                <w:lang w:val="en-US"/>
              </w:rPr>
            </w:pPr>
            <w:r w:rsidRPr="006A3DE8">
              <w:rPr>
                <w:szCs w:val="20"/>
                <w:lang w:val="en-US"/>
              </w:rPr>
              <w:t>287</w:t>
            </w:r>
          </w:p>
        </w:tc>
        <w:tc>
          <w:tcPr>
            <w:tcW w:w="1133" w:type="dxa"/>
            <w:tcBorders>
              <w:top w:val="nil"/>
              <w:left w:val="nil"/>
              <w:bottom w:val="single" w:sz="4" w:space="0" w:color="auto"/>
              <w:right w:val="nil"/>
            </w:tcBorders>
          </w:tcPr>
          <w:p w14:paraId="798D4353" w14:textId="334188A2" w:rsidR="008E080B" w:rsidRPr="006A3DE8" w:rsidRDefault="008E080B" w:rsidP="008E080B">
            <w:pPr>
              <w:pStyle w:val="NoSpacing"/>
              <w:ind w:firstLine="0"/>
              <w:rPr>
                <w:szCs w:val="20"/>
                <w:lang w:val="en-US"/>
              </w:rPr>
            </w:pPr>
            <w:r w:rsidRPr="006A3DE8">
              <w:rPr>
                <w:szCs w:val="20"/>
                <w:lang w:val="en-US"/>
              </w:rPr>
              <w:t>0.41</w:t>
            </w:r>
          </w:p>
        </w:tc>
        <w:tc>
          <w:tcPr>
            <w:tcW w:w="1233" w:type="dxa"/>
            <w:tcBorders>
              <w:top w:val="nil"/>
              <w:left w:val="nil"/>
              <w:bottom w:val="single" w:sz="4" w:space="0" w:color="auto"/>
              <w:right w:val="nil"/>
            </w:tcBorders>
          </w:tcPr>
          <w:p w14:paraId="3B5CC8A1" w14:textId="690CA914" w:rsidR="008E080B" w:rsidRPr="006A3DE8" w:rsidRDefault="008E080B" w:rsidP="008E080B">
            <w:pPr>
              <w:pStyle w:val="NoSpacing"/>
              <w:ind w:firstLine="0"/>
              <w:rPr>
                <w:szCs w:val="20"/>
                <w:lang w:val="en-US"/>
              </w:rPr>
            </w:pPr>
            <w:r w:rsidRPr="006A3DE8">
              <w:rPr>
                <w:szCs w:val="20"/>
                <w:lang w:val="en-US"/>
              </w:rPr>
              <w:t>108</w:t>
            </w:r>
          </w:p>
        </w:tc>
        <w:tc>
          <w:tcPr>
            <w:tcW w:w="1409" w:type="dxa"/>
            <w:tcBorders>
              <w:top w:val="nil"/>
              <w:left w:val="nil"/>
              <w:bottom w:val="single" w:sz="4" w:space="0" w:color="auto"/>
              <w:right w:val="nil"/>
            </w:tcBorders>
          </w:tcPr>
          <w:p w14:paraId="476D4A77" w14:textId="5C7ADAD1" w:rsidR="008E080B" w:rsidRPr="006A3DE8" w:rsidRDefault="008E080B" w:rsidP="008E080B">
            <w:pPr>
              <w:pStyle w:val="NoSpacing"/>
              <w:ind w:firstLine="0"/>
              <w:rPr>
                <w:szCs w:val="20"/>
                <w:lang w:val="en-US"/>
              </w:rPr>
            </w:pPr>
            <w:r w:rsidRPr="006A3DE8">
              <w:rPr>
                <w:szCs w:val="20"/>
                <w:lang w:val="en-US"/>
              </w:rPr>
              <w:t>0.38</w:t>
            </w:r>
          </w:p>
        </w:tc>
        <w:tc>
          <w:tcPr>
            <w:tcW w:w="1409" w:type="dxa"/>
            <w:tcBorders>
              <w:top w:val="nil"/>
              <w:left w:val="nil"/>
              <w:bottom w:val="single" w:sz="4" w:space="0" w:color="auto"/>
              <w:right w:val="single" w:sz="4" w:space="0" w:color="auto"/>
            </w:tcBorders>
          </w:tcPr>
          <w:p w14:paraId="3645751F" w14:textId="77FF3C4E" w:rsidR="008E080B" w:rsidRPr="006A3DE8" w:rsidRDefault="008E080B" w:rsidP="008E080B">
            <w:pPr>
              <w:pStyle w:val="NoSpacing"/>
              <w:ind w:firstLine="0"/>
              <w:rPr>
                <w:szCs w:val="20"/>
                <w:lang w:val="en-US"/>
              </w:rPr>
            </w:pPr>
            <w:r w:rsidRPr="006A3DE8">
              <w:rPr>
                <w:b/>
                <w:bCs/>
                <w:szCs w:val="20"/>
                <w:lang w:val="en-US"/>
              </w:rPr>
              <w:t>140</w:t>
            </w:r>
          </w:p>
        </w:tc>
      </w:tr>
      <w:tr w:rsidR="008E080B" w:rsidRPr="006A3DE8" w14:paraId="63D690F8" w14:textId="2B21A7F2" w:rsidTr="009A32EF">
        <w:trPr>
          <w:trHeight w:val="290"/>
        </w:trPr>
        <w:tc>
          <w:tcPr>
            <w:tcW w:w="1039" w:type="dxa"/>
            <w:vMerge w:val="restart"/>
            <w:tcBorders>
              <w:bottom w:val="nil"/>
              <w:right w:val="nil"/>
            </w:tcBorders>
          </w:tcPr>
          <w:p w14:paraId="44AF9D35" w14:textId="49000D1D" w:rsidR="008E080B" w:rsidRPr="006A3DE8" w:rsidRDefault="008E080B" w:rsidP="008E080B">
            <w:pPr>
              <w:pStyle w:val="NoSpacing"/>
              <w:ind w:firstLine="0"/>
              <w:rPr>
                <w:szCs w:val="20"/>
                <w:lang w:val="en-US"/>
              </w:rPr>
            </w:pPr>
            <w:r w:rsidRPr="006A3DE8">
              <w:rPr>
                <w:szCs w:val="20"/>
                <w:lang w:val="en-US"/>
              </w:rPr>
              <w:t>Task 3</w:t>
            </w:r>
          </w:p>
        </w:tc>
        <w:tc>
          <w:tcPr>
            <w:tcW w:w="1305" w:type="dxa"/>
            <w:tcBorders>
              <w:top w:val="single" w:sz="4" w:space="0" w:color="auto"/>
              <w:left w:val="nil"/>
              <w:bottom w:val="nil"/>
              <w:right w:val="nil"/>
            </w:tcBorders>
          </w:tcPr>
          <w:p w14:paraId="202EDD03" w14:textId="1B1718CF" w:rsidR="008E080B" w:rsidRPr="006A3DE8" w:rsidRDefault="008E080B" w:rsidP="008E080B">
            <w:pPr>
              <w:pStyle w:val="NoSpacing"/>
              <w:ind w:firstLine="0"/>
              <w:rPr>
                <w:szCs w:val="20"/>
                <w:lang w:val="en-US"/>
              </w:rPr>
            </w:pPr>
            <w:r w:rsidRPr="006A3DE8">
              <w:rPr>
                <w:szCs w:val="20"/>
                <w:lang w:val="en-US"/>
              </w:rPr>
              <w:t>Mode</w:t>
            </w:r>
          </w:p>
        </w:tc>
        <w:tc>
          <w:tcPr>
            <w:tcW w:w="1233" w:type="dxa"/>
            <w:tcBorders>
              <w:top w:val="single" w:sz="4" w:space="0" w:color="auto"/>
              <w:left w:val="nil"/>
              <w:bottom w:val="nil"/>
              <w:right w:val="nil"/>
            </w:tcBorders>
          </w:tcPr>
          <w:p w14:paraId="4DCCC5B2" w14:textId="6B4E88CB" w:rsidR="008E080B" w:rsidRPr="006A3DE8" w:rsidRDefault="008E080B" w:rsidP="008E080B">
            <w:pPr>
              <w:pStyle w:val="NoSpacing"/>
              <w:ind w:firstLine="0"/>
              <w:rPr>
                <w:szCs w:val="20"/>
                <w:lang w:val="en-US"/>
              </w:rPr>
            </w:pPr>
            <w:r w:rsidRPr="006A3DE8">
              <w:rPr>
                <w:szCs w:val="20"/>
                <w:lang w:val="en-US"/>
              </w:rPr>
              <w:t>494</w:t>
            </w:r>
          </w:p>
        </w:tc>
        <w:tc>
          <w:tcPr>
            <w:tcW w:w="1133" w:type="dxa"/>
            <w:tcBorders>
              <w:top w:val="single" w:sz="4" w:space="0" w:color="auto"/>
              <w:left w:val="nil"/>
              <w:bottom w:val="nil"/>
              <w:right w:val="nil"/>
            </w:tcBorders>
          </w:tcPr>
          <w:p w14:paraId="40E17F00" w14:textId="1CA249FB" w:rsidR="008E080B" w:rsidRPr="006A3DE8" w:rsidRDefault="008E080B" w:rsidP="008E080B">
            <w:pPr>
              <w:pStyle w:val="NoSpacing"/>
              <w:ind w:firstLine="0"/>
              <w:rPr>
                <w:b/>
                <w:bCs/>
                <w:szCs w:val="20"/>
                <w:lang w:val="en-US"/>
              </w:rPr>
            </w:pPr>
            <w:r w:rsidRPr="006A3DE8">
              <w:rPr>
                <w:b/>
                <w:bCs/>
                <w:szCs w:val="20"/>
                <w:lang w:val="en-US"/>
              </w:rPr>
              <w:t>0.31</w:t>
            </w:r>
          </w:p>
        </w:tc>
        <w:tc>
          <w:tcPr>
            <w:tcW w:w="1233" w:type="dxa"/>
            <w:tcBorders>
              <w:top w:val="single" w:sz="4" w:space="0" w:color="auto"/>
              <w:left w:val="nil"/>
              <w:bottom w:val="nil"/>
              <w:right w:val="nil"/>
            </w:tcBorders>
          </w:tcPr>
          <w:p w14:paraId="25D204B5" w14:textId="32A12FAD" w:rsidR="008E080B" w:rsidRPr="006A3DE8" w:rsidRDefault="008E080B" w:rsidP="008E080B">
            <w:pPr>
              <w:pStyle w:val="NoSpacing"/>
              <w:ind w:firstLine="0"/>
              <w:rPr>
                <w:szCs w:val="20"/>
                <w:lang w:val="en-US"/>
              </w:rPr>
            </w:pPr>
            <w:r w:rsidRPr="006A3DE8">
              <w:rPr>
                <w:szCs w:val="20"/>
                <w:lang w:val="en-US"/>
              </w:rPr>
              <w:t>289</w:t>
            </w:r>
          </w:p>
        </w:tc>
        <w:tc>
          <w:tcPr>
            <w:tcW w:w="1409" w:type="dxa"/>
            <w:tcBorders>
              <w:top w:val="single" w:sz="4" w:space="0" w:color="auto"/>
              <w:left w:val="nil"/>
              <w:bottom w:val="nil"/>
              <w:right w:val="nil"/>
            </w:tcBorders>
          </w:tcPr>
          <w:p w14:paraId="21A93B34" w14:textId="38B59A74" w:rsidR="008E080B" w:rsidRPr="006A3DE8" w:rsidRDefault="008E080B" w:rsidP="008E080B">
            <w:pPr>
              <w:pStyle w:val="NoSpacing"/>
              <w:ind w:firstLine="0"/>
              <w:rPr>
                <w:szCs w:val="20"/>
                <w:lang w:val="en-US"/>
              </w:rPr>
            </w:pPr>
            <w:r w:rsidRPr="006A3DE8">
              <w:rPr>
                <w:szCs w:val="20"/>
                <w:lang w:val="en-US"/>
              </w:rPr>
              <w:t>0.41</w:t>
            </w:r>
          </w:p>
        </w:tc>
        <w:tc>
          <w:tcPr>
            <w:tcW w:w="1409" w:type="dxa"/>
            <w:tcBorders>
              <w:top w:val="single" w:sz="4" w:space="0" w:color="auto"/>
              <w:left w:val="nil"/>
              <w:bottom w:val="nil"/>
              <w:right w:val="single" w:sz="4" w:space="0" w:color="auto"/>
            </w:tcBorders>
          </w:tcPr>
          <w:p w14:paraId="38DF0F3B" w14:textId="15B9786C" w:rsidR="008E080B" w:rsidRPr="006A3DE8" w:rsidRDefault="008E080B" w:rsidP="008E080B">
            <w:pPr>
              <w:pStyle w:val="NoSpacing"/>
              <w:ind w:firstLine="0"/>
              <w:rPr>
                <w:szCs w:val="20"/>
                <w:lang w:val="en-US"/>
              </w:rPr>
            </w:pPr>
            <w:r w:rsidRPr="006A3DE8">
              <w:rPr>
                <w:szCs w:val="20"/>
                <w:lang w:val="en-US"/>
              </w:rPr>
              <w:t>408</w:t>
            </w:r>
          </w:p>
        </w:tc>
      </w:tr>
      <w:tr w:rsidR="009A32EF" w:rsidRPr="006A3DE8" w14:paraId="1E46FFC6" w14:textId="77777777" w:rsidTr="009A32EF">
        <w:trPr>
          <w:trHeight w:val="290"/>
        </w:trPr>
        <w:tc>
          <w:tcPr>
            <w:tcW w:w="1039" w:type="dxa"/>
            <w:vMerge/>
            <w:tcBorders>
              <w:bottom w:val="nil"/>
              <w:right w:val="nil"/>
            </w:tcBorders>
          </w:tcPr>
          <w:p w14:paraId="7F1DA985" w14:textId="77777777" w:rsidR="009A32EF" w:rsidRPr="006A3DE8" w:rsidRDefault="009A32EF" w:rsidP="009A32EF">
            <w:pPr>
              <w:pStyle w:val="NoSpacing"/>
              <w:ind w:firstLine="0"/>
              <w:rPr>
                <w:szCs w:val="20"/>
                <w:lang w:val="en-US"/>
              </w:rPr>
            </w:pPr>
          </w:p>
        </w:tc>
        <w:tc>
          <w:tcPr>
            <w:tcW w:w="1305" w:type="dxa"/>
            <w:tcBorders>
              <w:top w:val="nil"/>
              <w:left w:val="nil"/>
              <w:bottom w:val="nil"/>
              <w:right w:val="nil"/>
            </w:tcBorders>
          </w:tcPr>
          <w:p w14:paraId="2FFD534C" w14:textId="2FDA20D6" w:rsidR="009A32EF" w:rsidRPr="006A3DE8" w:rsidRDefault="009A32EF" w:rsidP="009A32EF">
            <w:pPr>
              <w:pStyle w:val="NoSpacing"/>
              <w:ind w:firstLine="0"/>
              <w:rPr>
                <w:szCs w:val="20"/>
                <w:lang w:val="en-US"/>
              </w:rPr>
            </w:pPr>
            <w:r w:rsidRPr="006A3DE8">
              <w:rPr>
                <w:szCs w:val="20"/>
                <w:lang w:val="en-US"/>
              </w:rPr>
              <w:t>Median</w:t>
            </w:r>
          </w:p>
        </w:tc>
        <w:tc>
          <w:tcPr>
            <w:tcW w:w="1233" w:type="dxa"/>
            <w:tcBorders>
              <w:top w:val="nil"/>
              <w:left w:val="nil"/>
              <w:bottom w:val="nil"/>
              <w:right w:val="nil"/>
            </w:tcBorders>
          </w:tcPr>
          <w:p w14:paraId="24714761" w14:textId="5E2A776D" w:rsidR="009A32EF" w:rsidRPr="006A3DE8" w:rsidRDefault="009A32EF" w:rsidP="009A32EF">
            <w:pPr>
              <w:pStyle w:val="NoSpacing"/>
              <w:ind w:firstLine="0"/>
              <w:rPr>
                <w:szCs w:val="20"/>
                <w:lang w:val="en-US"/>
              </w:rPr>
            </w:pPr>
            <w:r w:rsidRPr="006A3DE8">
              <w:rPr>
                <w:szCs w:val="20"/>
                <w:lang w:val="en-US"/>
              </w:rPr>
              <w:t>622</w:t>
            </w:r>
          </w:p>
        </w:tc>
        <w:tc>
          <w:tcPr>
            <w:tcW w:w="1133" w:type="dxa"/>
            <w:tcBorders>
              <w:top w:val="nil"/>
              <w:left w:val="nil"/>
              <w:bottom w:val="nil"/>
              <w:right w:val="nil"/>
            </w:tcBorders>
          </w:tcPr>
          <w:p w14:paraId="28CC13A1" w14:textId="1E346797" w:rsidR="009A32EF" w:rsidRPr="006A3DE8" w:rsidRDefault="009A32EF" w:rsidP="009A32EF">
            <w:pPr>
              <w:pStyle w:val="NoSpacing"/>
              <w:ind w:firstLine="0"/>
              <w:rPr>
                <w:b/>
                <w:bCs/>
                <w:szCs w:val="20"/>
                <w:lang w:val="en-US"/>
              </w:rPr>
            </w:pPr>
            <w:r w:rsidRPr="006A3DE8">
              <w:rPr>
                <w:szCs w:val="20"/>
                <w:lang w:val="en-US"/>
              </w:rPr>
              <w:t>0.34</w:t>
            </w:r>
          </w:p>
        </w:tc>
        <w:tc>
          <w:tcPr>
            <w:tcW w:w="1233" w:type="dxa"/>
            <w:tcBorders>
              <w:top w:val="nil"/>
              <w:left w:val="nil"/>
              <w:bottom w:val="nil"/>
              <w:right w:val="nil"/>
            </w:tcBorders>
          </w:tcPr>
          <w:p w14:paraId="3819D497" w14:textId="5B76E146" w:rsidR="009A32EF" w:rsidRPr="006A3DE8" w:rsidRDefault="009A32EF" w:rsidP="009A32EF">
            <w:pPr>
              <w:pStyle w:val="NoSpacing"/>
              <w:ind w:firstLine="0"/>
              <w:rPr>
                <w:szCs w:val="20"/>
                <w:lang w:val="en-US"/>
              </w:rPr>
            </w:pPr>
            <w:r w:rsidRPr="006A3DE8">
              <w:rPr>
                <w:b/>
                <w:bCs/>
                <w:szCs w:val="20"/>
                <w:lang w:val="en-US"/>
              </w:rPr>
              <w:t>262</w:t>
            </w:r>
          </w:p>
        </w:tc>
        <w:tc>
          <w:tcPr>
            <w:tcW w:w="1409" w:type="dxa"/>
            <w:tcBorders>
              <w:top w:val="nil"/>
              <w:left w:val="nil"/>
              <w:bottom w:val="nil"/>
              <w:right w:val="nil"/>
            </w:tcBorders>
          </w:tcPr>
          <w:p w14:paraId="51FD7B2C" w14:textId="7AAD16F6" w:rsidR="009A32EF" w:rsidRPr="006A3DE8" w:rsidRDefault="009A32EF" w:rsidP="009A32EF">
            <w:pPr>
              <w:pStyle w:val="NoSpacing"/>
              <w:ind w:firstLine="0"/>
              <w:rPr>
                <w:szCs w:val="20"/>
                <w:lang w:val="en-US"/>
              </w:rPr>
            </w:pPr>
            <w:r w:rsidRPr="006A3DE8">
              <w:rPr>
                <w:szCs w:val="20"/>
                <w:lang w:val="en-US"/>
              </w:rPr>
              <w:t>0</w:t>
            </w:r>
            <w:r w:rsidRPr="006A3DE8">
              <w:rPr>
                <w:b/>
                <w:bCs/>
                <w:szCs w:val="20"/>
                <w:lang w:val="en-US"/>
              </w:rPr>
              <w:t>.36</w:t>
            </w:r>
          </w:p>
        </w:tc>
        <w:tc>
          <w:tcPr>
            <w:tcW w:w="1409" w:type="dxa"/>
            <w:tcBorders>
              <w:top w:val="nil"/>
              <w:left w:val="nil"/>
              <w:bottom w:val="nil"/>
              <w:right w:val="single" w:sz="4" w:space="0" w:color="auto"/>
            </w:tcBorders>
          </w:tcPr>
          <w:p w14:paraId="046B2A6B" w14:textId="5D56E815" w:rsidR="009A32EF" w:rsidRPr="006A3DE8" w:rsidRDefault="009A32EF" w:rsidP="009A32EF">
            <w:pPr>
              <w:pStyle w:val="NoSpacing"/>
              <w:ind w:firstLine="0"/>
              <w:rPr>
                <w:szCs w:val="20"/>
                <w:lang w:val="en-US"/>
              </w:rPr>
            </w:pPr>
            <w:r w:rsidRPr="006A3DE8">
              <w:rPr>
                <w:szCs w:val="20"/>
                <w:lang w:val="en-US"/>
              </w:rPr>
              <w:t>347</w:t>
            </w:r>
          </w:p>
        </w:tc>
      </w:tr>
      <w:tr w:rsidR="009A32EF" w:rsidRPr="006A3DE8" w14:paraId="3F76A104" w14:textId="501A7693" w:rsidTr="009A32EF">
        <w:trPr>
          <w:trHeight w:val="277"/>
        </w:trPr>
        <w:tc>
          <w:tcPr>
            <w:tcW w:w="1039" w:type="dxa"/>
            <w:vMerge/>
            <w:tcBorders>
              <w:top w:val="nil"/>
              <w:bottom w:val="single" w:sz="4" w:space="0" w:color="auto"/>
              <w:right w:val="nil"/>
            </w:tcBorders>
          </w:tcPr>
          <w:p w14:paraId="49928DD0" w14:textId="77777777" w:rsidR="009A32EF" w:rsidRPr="006A3DE8" w:rsidRDefault="009A32EF" w:rsidP="009A32EF">
            <w:pPr>
              <w:pStyle w:val="NoSpacing"/>
              <w:ind w:firstLine="0"/>
              <w:rPr>
                <w:szCs w:val="20"/>
                <w:lang w:val="en-US"/>
              </w:rPr>
            </w:pPr>
          </w:p>
        </w:tc>
        <w:tc>
          <w:tcPr>
            <w:tcW w:w="1305" w:type="dxa"/>
            <w:tcBorders>
              <w:top w:val="nil"/>
              <w:left w:val="nil"/>
              <w:bottom w:val="single" w:sz="4" w:space="0" w:color="auto"/>
              <w:right w:val="nil"/>
            </w:tcBorders>
          </w:tcPr>
          <w:p w14:paraId="16574D64" w14:textId="326040F1" w:rsidR="009A32EF" w:rsidRPr="006A3DE8" w:rsidRDefault="009A32EF" w:rsidP="009A32EF">
            <w:pPr>
              <w:pStyle w:val="NoSpacing"/>
              <w:ind w:firstLine="0"/>
              <w:rPr>
                <w:szCs w:val="20"/>
                <w:lang w:val="en-US"/>
              </w:rPr>
            </w:pPr>
            <w:r w:rsidRPr="006A3DE8">
              <w:rPr>
                <w:szCs w:val="20"/>
                <w:lang w:val="en-US"/>
              </w:rPr>
              <w:t>Mean</w:t>
            </w:r>
          </w:p>
        </w:tc>
        <w:tc>
          <w:tcPr>
            <w:tcW w:w="1233" w:type="dxa"/>
            <w:tcBorders>
              <w:top w:val="nil"/>
              <w:left w:val="nil"/>
              <w:bottom w:val="single" w:sz="4" w:space="0" w:color="auto"/>
              <w:right w:val="nil"/>
            </w:tcBorders>
          </w:tcPr>
          <w:p w14:paraId="2E40AD3A" w14:textId="0FE10CF2" w:rsidR="009A32EF" w:rsidRPr="006A3DE8" w:rsidRDefault="009A32EF" w:rsidP="009A32EF">
            <w:pPr>
              <w:pStyle w:val="NoSpacing"/>
              <w:ind w:firstLine="0"/>
              <w:rPr>
                <w:szCs w:val="20"/>
                <w:lang w:val="en-US"/>
              </w:rPr>
            </w:pPr>
            <w:r w:rsidRPr="006A3DE8">
              <w:rPr>
                <w:szCs w:val="20"/>
                <w:lang w:val="en-US"/>
              </w:rPr>
              <w:t>741</w:t>
            </w:r>
          </w:p>
        </w:tc>
        <w:tc>
          <w:tcPr>
            <w:tcW w:w="1133" w:type="dxa"/>
            <w:tcBorders>
              <w:top w:val="nil"/>
              <w:left w:val="nil"/>
              <w:bottom w:val="single" w:sz="4" w:space="0" w:color="auto"/>
              <w:right w:val="nil"/>
            </w:tcBorders>
          </w:tcPr>
          <w:p w14:paraId="024250E2" w14:textId="7DDC12B4" w:rsidR="009A32EF" w:rsidRPr="006A3DE8" w:rsidRDefault="009A32EF" w:rsidP="009A32EF">
            <w:pPr>
              <w:pStyle w:val="NoSpacing"/>
              <w:ind w:firstLine="0"/>
              <w:rPr>
                <w:szCs w:val="20"/>
                <w:lang w:val="en-US"/>
              </w:rPr>
            </w:pPr>
            <w:r w:rsidRPr="006A3DE8">
              <w:rPr>
                <w:szCs w:val="20"/>
                <w:lang w:val="en-US"/>
              </w:rPr>
              <w:t>0.41</w:t>
            </w:r>
          </w:p>
        </w:tc>
        <w:tc>
          <w:tcPr>
            <w:tcW w:w="1233" w:type="dxa"/>
            <w:tcBorders>
              <w:top w:val="nil"/>
              <w:left w:val="nil"/>
              <w:bottom w:val="single" w:sz="4" w:space="0" w:color="auto"/>
              <w:right w:val="nil"/>
            </w:tcBorders>
          </w:tcPr>
          <w:p w14:paraId="4525942A" w14:textId="62CD6436" w:rsidR="009A32EF" w:rsidRPr="006A3DE8" w:rsidRDefault="009A32EF" w:rsidP="009A32EF">
            <w:pPr>
              <w:pStyle w:val="NoSpacing"/>
              <w:ind w:firstLine="0"/>
              <w:rPr>
                <w:szCs w:val="20"/>
                <w:lang w:val="en-US"/>
              </w:rPr>
            </w:pPr>
            <w:r w:rsidRPr="006A3DE8">
              <w:rPr>
                <w:szCs w:val="20"/>
                <w:lang w:val="en-US"/>
              </w:rPr>
              <w:t>269</w:t>
            </w:r>
          </w:p>
        </w:tc>
        <w:tc>
          <w:tcPr>
            <w:tcW w:w="1409" w:type="dxa"/>
            <w:tcBorders>
              <w:top w:val="nil"/>
              <w:left w:val="nil"/>
              <w:bottom w:val="single" w:sz="4" w:space="0" w:color="auto"/>
              <w:right w:val="nil"/>
            </w:tcBorders>
          </w:tcPr>
          <w:p w14:paraId="3EDABAA7" w14:textId="54186093" w:rsidR="009A32EF" w:rsidRPr="006A3DE8" w:rsidRDefault="009A32EF" w:rsidP="009A32EF">
            <w:pPr>
              <w:pStyle w:val="NoSpacing"/>
              <w:ind w:firstLine="0"/>
              <w:rPr>
                <w:szCs w:val="20"/>
                <w:lang w:val="en-US"/>
              </w:rPr>
            </w:pPr>
            <w:r w:rsidRPr="006A3DE8">
              <w:rPr>
                <w:szCs w:val="20"/>
                <w:lang w:val="en-US"/>
              </w:rPr>
              <w:t>0.37</w:t>
            </w:r>
          </w:p>
        </w:tc>
        <w:tc>
          <w:tcPr>
            <w:tcW w:w="1409" w:type="dxa"/>
            <w:tcBorders>
              <w:top w:val="nil"/>
              <w:left w:val="nil"/>
              <w:bottom w:val="single" w:sz="4" w:space="0" w:color="auto"/>
              <w:right w:val="single" w:sz="4" w:space="0" w:color="auto"/>
            </w:tcBorders>
          </w:tcPr>
          <w:p w14:paraId="08C8165F" w14:textId="413E773D" w:rsidR="009A32EF" w:rsidRPr="006A3DE8" w:rsidRDefault="009A32EF" w:rsidP="009A32EF">
            <w:pPr>
              <w:pStyle w:val="NoSpacing"/>
              <w:ind w:firstLine="0"/>
              <w:rPr>
                <w:szCs w:val="20"/>
                <w:lang w:val="en-US"/>
              </w:rPr>
            </w:pPr>
            <w:r w:rsidRPr="006A3DE8">
              <w:rPr>
                <w:b/>
                <w:bCs/>
                <w:szCs w:val="20"/>
                <w:lang w:val="en-US"/>
              </w:rPr>
              <w:t>326</w:t>
            </w:r>
          </w:p>
        </w:tc>
      </w:tr>
      <w:tr w:rsidR="009A32EF" w:rsidRPr="006A3DE8" w14:paraId="612DD929" w14:textId="1F6DB845" w:rsidTr="009A32EF">
        <w:trPr>
          <w:trHeight w:val="290"/>
        </w:trPr>
        <w:tc>
          <w:tcPr>
            <w:tcW w:w="1039" w:type="dxa"/>
            <w:vMerge w:val="restart"/>
            <w:tcBorders>
              <w:bottom w:val="nil"/>
              <w:right w:val="nil"/>
            </w:tcBorders>
          </w:tcPr>
          <w:p w14:paraId="3189C2C0" w14:textId="764C86CF" w:rsidR="009A32EF" w:rsidRPr="006A3DE8" w:rsidRDefault="009A32EF" w:rsidP="009A32EF">
            <w:pPr>
              <w:pStyle w:val="NoSpacing"/>
              <w:ind w:firstLine="0"/>
              <w:rPr>
                <w:szCs w:val="20"/>
                <w:lang w:val="en-US"/>
              </w:rPr>
            </w:pPr>
            <w:r w:rsidRPr="006A3DE8">
              <w:rPr>
                <w:szCs w:val="20"/>
                <w:lang w:val="en-US"/>
              </w:rPr>
              <w:t>Task 4</w:t>
            </w:r>
          </w:p>
        </w:tc>
        <w:tc>
          <w:tcPr>
            <w:tcW w:w="1305" w:type="dxa"/>
            <w:tcBorders>
              <w:top w:val="single" w:sz="4" w:space="0" w:color="auto"/>
              <w:left w:val="nil"/>
              <w:bottom w:val="nil"/>
              <w:right w:val="nil"/>
            </w:tcBorders>
          </w:tcPr>
          <w:p w14:paraId="0D0102AA" w14:textId="7BD5695B" w:rsidR="009A32EF" w:rsidRPr="006A3DE8" w:rsidRDefault="009A32EF" w:rsidP="009A32EF">
            <w:pPr>
              <w:pStyle w:val="NoSpacing"/>
              <w:ind w:firstLine="0"/>
              <w:rPr>
                <w:szCs w:val="20"/>
                <w:lang w:val="en-US"/>
              </w:rPr>
            </w:pPr>
            <w:r w:rsidRPr="006A3DE8">
              <w:rPr>
                <w:szCs w:val="20"/>
                <w:lang w:val="en-US"/>
              </w:rPr>
              <w:t>Mode</w:t>
            </w:r>
          </w:p>
        </w:tc>
        <w:tc>
          <w:tcPr>
            <w:tcW w:w="1233" w:type="dxa"/>
            <w:tcBorders>
              <w:top w:val="single" w:sz="4" w:space="0" w:color="auto"/>
              <w:left w:val="nil"/>
              <w:bottom w:val="nil"/>
              <w:right w:val="nil"/>
            </w:tcBorders>
          </w:tcPr>
          <w:p w14:paraId="7ACFEF19" w14:textId="31C31B6C" w:rsidR="009A32EF" w:rsidRPr="006A3DE8" w:rsidRDefault="009A32EF" w:rsidP="009A32EF">
            <w:pPr>
              <w:pStyle w:val="NoSpacing"/>
              <w:ind w:firstLine="0"/>
              <w:rPr>
                <w:szCs w:val="20"/>
                <w:lang w:val="en-US"/>
              </w:rPr>
            </w:pPr>
            <w:r w:rsidRPr="006A3DE8">
              <w:rPr>
                <w:szCs w:val="20"/>
                <w:lang w:val="en-US"/>
              </w:rPr>
              <w:t>305</w:t>
            </w:r>
          </w:p>
        </w:tc>
        <w:tc>
          <w:tcPr>
            <w:tcW w:w="1133" w:type="dxa"/>
            <w:tcBorders>
              <w:top w:val="single" w:sz="4" w:space="0" w:color="auto"/>
              <w:left w:val="nil"/>
              <w:bottom w:val="nil"/>
              <w:right w:val="nil"/>
            </w:tcBorders>
          </w:tcPr>
          <w:p w14:paraId="16148CE4" w14:textId="6769433B" w:rsidR="009A32EF" w:rsidRPr="006A3DE8" w:rsidRDefault="009A32EF" w:rsidP="009A32EF">
            <w:pPr>
              <w:pStyle w:val="NoSpacing"/>
              <w:ind w:firstLine="0"/>
              <w:rPr>
                <w:b/>
                <w:bCs/>
                <w:szCs w:val="20"/>
                <w:lang w:val="en-US"/>
              </w:rPr>
            </w:pPr>
            <w:r w:rsidRPr="006A3DE8">
              <w:rPr>
                <w:b/>
                <w:bCs/>
                <w:szCs w:val="20"/>
                <w:lang w:val="en-US"/>
              </w:rPr>
              <w:t>0.41</w:t>
            </w:r>
          </w:p>
        </w:tc>
        <w:tc>
          <w:tcPr>
            <w:tcW w:w="1233" w:type="dxa"/>
            <w:tcBorders>
              <w:top w:val="single" w:sz="4" w:space="0" w:color="auto"/>
              <w:left w:val="nil"/>
              <w:bottom w:val="nil"/>
              <w:right w:val="nil"/>
            </w:tcBorders>
          </w:tcPr>
          <w:p w14:paraId="2D6DD594" w14:textId="32859233" w:rsidR="009A32EF" w:rsidRPr="006A3DE8" w:rsidRDefault="009A32EF" w:rsidP="009A32EF">
            <w:pPr>
              <w:pStyle w:val="NoSpacing"/>
              <w:ind w:firstLine="0"/>
              <w:rPr>
                <w:szCs w:val="20"/>
                <w:lang w:val="en-US"/>
              </w:rPr>
            </w:pPr>
            <w:r w:rsidRPr="006A3DE8">
              <w:rPr>
                <w:szCs w:val="20"/>
                <w:lang w:val="en-US"/>
              </w:rPr>
              <w:t>135</w:t>
            </w:r>
          </w:p>
        </w:tc>
        <w:tc>
          <w:tcPr>
            <w:tcW w:w="1409" w:type="dxa"/>
            <w:tcBorders>
              <w:top w:val="single" w:sz="4" w:space="0" w:color="auto"/>
              <w:left w:val="nil"/>
              <w:bottom w:val="nil"/>
              <w:right w:val="nil"/>
            </w:tcBorders>
          </w:tcPr>
          <w:p w14:paraId="55D7FA51" w14:textId="24BACEAB" w:rsidR="009A32EF" w:rsidRPr="006A3DE8" w:rsidRDefault="009A32EF" w:rsidP="009A32EF">
            <w:pPr>
              <w:pStyle w:val="NoSpacing"/>
              <w:ind w:firstLine="0"/>
              <w:rPr>
                <w:szCs w:val="20"/>
                <w:lang w:val="en-US"/>
              </w:rPr>
            </w:pPr>
            <w:r w:rsidRPr="006A3DE8">
              <w:rPr>
                <w:szCs w:val="20"/>
                <w:lang w:val="en-US"/>
              </w:rPr>
              <w:t>0.41</w:t>
            </w:r>
          </w:p>
        </w:tc>
        <w:tc>
          <w:tcPr>
            <w:tcW w:w="1409" w:type="dxa"/>
            <w:tcBorders>
              <w:top w:val="single" w:sz="4" w:space="0" w:color="auto"/>
              <w:left w:val="nil"/>
              <w:bottom w:val="nil"/>
              <w:right w:val="single" w:sz="4" w:space="0" w:color="auto"/>
            </w:tcBorders>
          </w:tcPr>
          <w:p w14:paraId="7BBE49B7" w14:textId="14713F25" w:rsidR="009A32EF" w:rsidRPr="006A3DE8" w:rsidRDefault="009A32EF" w:rsidP="009A32EF">
            <w:pPr>
              <w:pStyle w:val="NoSpacing"/>
              <w:ind w:firstLine="0"/>
              <w:rPr>
                <w:szCs w:val="20"/>
                <w:lang w:val="en-US"/>
              </w:rPr>
            </w:pPr>
            <w:r w:rsidRPr="006A3DE8">
              <w:rPr>
                <w:szCs w:val="20"/>
                <w:lang w:val="en-US"/>
              </w:rPr>
              <w:t>169</w:t>
            </w:r>
          </w:p>
        </w:tc>
      </w:tr>
      <w:tr w:rsidR="009A32EF" w:rsidRPr="006A3DE8" w14:paraId="100E8F3C" w14:textId="57BCB4D8" w:rsidTr="00C73672">
        <w:trPr>
          <w:trHeight w:val="290"/>
        </w:trPr>
        <w:tc>
          <w:tcPr>
            <w:tcW w:w="1039" w:type="dxa"/>
            <w:vMerge/>
            <w:tcBorders>
              <w:top w:val="nil"/>
              <w:bottom w:val="nil"/>
              <w:right w:val="nil"/>
            </w:tcBorders>
          </w:tcPr>
          <w:p w14:paraId="6285AC2E" w14:textId="77777777" w:rsidR="009A32EF" w:rsidRPr="006A3DE8" w:rsidRDefault="009A32EF" w:rsidP="009A32EF">
            <w:pPr>
              <w:pStyle w:val="NoSpacing"/>
              <w:ind w:firstLine="0"/>
              <w:rPr>
                <w:szCs w:val="20"/>
                <w:lang w:val="en-US"/>
              </w:rPr>
            </w:pPr>
          </w:p>
        </w:tc>
        <w:tc>
          <w:tcPr>
            <w:tcW w:w="1305" w:type="dxa"/>
            <w:tcBorders>
              <w:top w:val="nil"/>
              <w:left w:val="nil"/>
              <w:bottom w:val="nil"/>
              <w:right w:val="nil"/>
            </w:tcBorders>
          </w:tcPr>
          <w:p w14:paraId="3D2B4AE3" w14:textId="4537BB86" w:rsidR="009A32EF" w:rsidRPr="006A3DE8" w:rsidRDefault="009A32EF" w:rsidP="009A32EF">
            <w:pPr>
              <w:pStyle w:val="NoSpacing"/>
              <w:ind w:firstLine="0"/>
              <w:rPr>
                <w:szCs w:val="20"/>
                <w:lang w:val="en-US"/>
              </w:rPr>
            </w:pPr>
            <w:r w:rsidRPr="006A3DE8">
              <w:rPr>
                <w:szCs w:val="20"/>
                <w:lang w:val="en-US"/>
              </w:rPr>
              <w:t>Median</w:t>
            </w:r>
          </w:p>
        </w:tc>
        <w:tc>
          <w:tcPr>
            <w:tcW w:w="1233" w:type="dxa"/>
            <w:tcBorders>
              <w:top w:val="nil"/>
              <w:left w:val="nil"/>
              <w:bottom w:val="nil"/>
              <w:right w:val="nil"/>
            </w:tcBorders>
          </w:tcPr>
          <w:p w14:paraId="40E4A8B4" w14:textId="4A33CD60" w:rsidR="009A32EF" w:rsidRPr="006A3DE8" w:rsidRDefault="009A32EF" w:rsidP="009A32EF">
            <w:pPr>
              <w:pStyle w:val="NoSpacing"/>
              <w:ind w:firstLine="0"/>
              <w:rPr>
                <w:szCs w:val="20"/>
                <w:lang w:val="en-US"/>
              </w:rPr>
            </w:pPr>
            <w:r w:rsidRPr="006A3DE8">
              <w:rPr>
                <w:szCs w:val="20"/>
                <w:lang w:val="en-US"/>
              </w:rPr>
              <w:t>326</w:t>
            </w:r>
          </w:p>
        </w:tc>
        <w:tc>
          <w:tcPr>
            <w:tcW w:w="1133" w:type="dxa"/>
            <w:tcBorders>
              <w:top w:val="nil"/>
              <w:left w:val="nil"/>
              <w:bottom w:val="nil"/>
              <w:right w:val="nil"/>
            </w:tcBorders>
          </w:tcPr>
          <w:p w14:paraId="1F28CABF" w14:textId="765B5D2B" w:rsidR="009A32EF" w:rsidRPr="006A3DE8" w:rsidRDefault="009A32EF" w:rsidP="009A32EF">
            <w:pPr>
              <w:pStyle w:val="NoSpacing"/>
              <w:ind w:firstLine="0"/>
              <w:rPr>
                <w:szCs w:val="20"/>
                <w:lang w:val="en-US"/>
              </w:rPr>
            </w:pPr>
            <w:r w:rsidRPr="006A3DE8">
              <w:rPr>
                <w:szCs w:val="20"/>
                <w:lang w:val="en-US"/>
              </w:rPr>
              <w:t>0.43</w:t>
            </w:r>
          </w:p>
        </w:tc>
        <w:tc>
          <w:tcPr>
            <w:tcW w:w="1233" w:type="dxa"/>
            <w:tcBorders>
              <w:top w:val="nil"/>
              <w:left w:val="nil"/>
              <w:bottom w:val="nil"/>
              <w:right w:val="nil"/>
            </w:tcBorders>
          </w:tcPr>
          <w:p w14:paraId="7AF6D48E" w14:textId="75197860" w:rsidR="009A32EF" w:rsidRPr="006A3DE8" w:rsidRDefault="009A32EF" w:rsidP="009A32EF">
            <w:pPr>
              <w:pStyle w:val="NoSpacing"/>
              <w:ind w:firstLine="0"/>
              <w:rPr>
                <w:b/>
                <w:bCs/>
                <w:szCs w:val="20"/>
                <w:lang w:val="en-US"/>
              </w:rPr>
            </w:pPr>
            <w:r w:rsidRPr="006A3DE8">
              <w:rPr>
                <w:b/>
                <w:bCs/>
                <w:szCs w:val="20"/>
                <w:lang w:val="en-US"/>
              </w:rPr>
              <w:t>133</w:t>
            </w:r>
          </w:p>
        </w:tc>
        <w:tc>
          <w:tcPr>
            <w:tcW w:w="1409" w:type="dxa"/>
            <w:tcBorders>
              <w:top w:val="nil"/>
              <w:left w:val="nil"/>
              <w:bottom w:val="nil"/>
              <w:right w:val="nil"/>
            </w:tcBorders>
          </w:tcPr>
          <w:p w14:paraId="7D4BAF37" w14:textId="14178A8F" w:rsidR="009A32EF" w:rsidRPr="006A3DE8" w:rsidRDefault="009A32EF" w:rsidP="009A32EF">
            <w:pPr>
              <w:pStyle w:val="NoSpacing"/>
              <w:ind w:firstLine="0"/>
              <w:rPr>
                <w:b/>
                <w:bCs/>
                <w:szCs w:val="20"/>
                <w:lang w:val="en-US"/>
              </w:rPr>
            </w:pPr>
            <w:r w:rsidRPr="006A3DE8">
              <w:rPr>
                <w:b/>
                <w:bCs/>
                <w:szCs w:val="20"/>
                <w:lang w:val="en-US"/>
              </w:rPr>
              <w:t>0.40</w:t>
            </w:r>
          </w:p>
        </w:tc>
        <w:tc>
          <w:tcPr>
            <w:tcW w:w="1409" w:type="dxa"/>
            <w:tcBorders>
              <w:top w:val="nil"/>
              <w:left w:val="nil"/>
              <w:bottom w:val="nil"/>
              <w:right w:val="single" w:sz="4" w:space="0" w:color="auto"/>
            </w:tcBorders>
          </w:tcPr>
          <w:p w14:paraId="13FC9A65" w14:textId="57903C11" w:rsidR="009A32EF" w:rsidRPr="006A3DE8" w:rsidRDefault="009A32EF" w:rsidP="009A32EF">
            <w:pPr>
              <w:pStyle w:val="NoSpacing"/>
              <w:ind w:firstLine="0"/>
              <w:rPr>
                <w:b/>
                <w:bCs/>
                <w:szCs w:val="20"/>
                <w:lang w:val="en-US"/>
              </w:rPr>
            </w:pPr>
            <w:r w:rsidRPr="006A3DE8">
              <w:rPr>
                <w:szCs w:val="20"/>
                <w:lang w:val="en-US"/>
              </w:rPr>
              <w:t>162</w:t>
            </w:r>
          </w:p>
        </w:tc>
      </w:tr>
      <w:tr w:rsidR="009A32EF" w:rsidRPr="006A3DE8" w14:paraId="232DDB50" w14:textId="30E6343E" w:rsidTr="00C73672">
        <w:trPr>
          <w:trHeight w:val="290"/>
        </w:trPr>
        <w:tc>
          <w:tcPr>
            <w:tcW w:w="1039" w:type="dxa"/>
            <w:vMerge/>
            <w:tcBorders>
              <w:top w:val="nil"/>
              <w:bottom w:val="single" w:sz="4" w:space="0" w:color="auto"/>
              <w:right w:val="nil"/>
            </w:tcBorders>
          </w:tcPr>
          <w:p w14:paraId="0B91450E" w14:textId="77777777" w:rsidR="009A32EF" w:rsidRPr="006A3DE8" w:rsidRDefault="009A32EF" w:rsidP="009A32EF">
            <w:pPr>
              <w:pStyle w:val="NoSpacing"/>
              <w:ind w:firstLine="0"/>
              <w:rPr>
                <w:szCs w:val="20"/>
                <w:lang w:val="en-US"/>
              </w:rPr>
            </w:pPr>
          </w:p>
        </w:tc>
        <w:tc>
          <w:tcPr>
            <w:tcW w:w="1305" w:type="dxa"/>
            <w:tcBorders>
              <w:top w:val="nil"/>
              <w:left w:val="nil"/>
              <w:bottom w:val="single" w:sz="4" w:space="0" w:color="auto"/>
              <w:right w:val="nil"/>
            </w:tcBorders>
          </w:tcPr>
          <w:p w14:paraId="5F12EABF" w14:textId="0621DA13" w:rsidR="009A32EF" w:rsidRPr="006A3DE8" w:rsidRDefault="009A32EF" w:rsidP="009A32EF">
            <w:pPr>
              <w:pStyle w:val="NoSpacing"/>
              <w:ind w:firstLine="0"/>
              <w:rPr>
                <w:szCs w:val="20"/>
                <w:lang w:val="en-US"/>
              </w:rPr>
            </w:pPr>
            <w:r w:rsidRPr="006A3DE8">
              <w:rPr>
                <w:szCs w:val="20"/>
                <w:lang w:val="en-US"/>
              </w:rPr>
              <w:t>Mean</w:t>
            </w:r>
          </w:p>
        </w:tc>
        <w:tc>
          <w:tcPr>
            <w:tcW w:w="1233" w:type="dxa"/>
            <w:tcBorders>
              <w:top w:val="nil"/>
              <w:left w:val="nil"/>
              <w:bottom w:val="single" w:sz="4" w:space="0" w:color="auto"/>
              <w:right w:val="nil"/>
            </w:tcBorders>
          </w:tcPr>
          <w:p w14:paraId="73C49838" w14:textId="5E5FF527" w:rsidR="009A32EF" w:rsidRPr="006A3DE8" w:rsidRDefault="009A32EF" w:rsidP="009A32EF">
            <w:pPr>
              <w:pStyle w:val="NoSpacing"/>
              <w:ind w:firstLine="0"/>
              <w:rPr>
                <w:szCs w:val="20"/>
                <w:lang w:val="en-US"/>
              </w:rPr>
            </w:pPr>
            <w:r w:rsidRPr="006A3DE8">
              <w:rPr>
                <w:szCs w:val="20"/>
                <w:lang w:val="en-US"/>
              </w:rPr>
              <w:t>367</w:t>
            </w:r>
          </w:p>
        </w:tc>
        <w:tc>
          <w:tcPr>
            <w:tcW w:w="1133" w:type="dxa"/>
            <w:tcBorders>
              <w:top w:val="nil"/>
              <w:left w:val="nil"/>
              <w:bottom w:val="single" w:sz="4" w:space="0" w:color="auto"/>
              <w:right w:val="nil"/>
            </w:tcBorders>
          </w:tcPr>
          <w:p w14:paraId="58109FB1" w14:textId="2A571E7B" w:rsidR="009A32EF" w:rsidRPr="006A3DE8" w:rsidRDefault="009A32EF" w:rsidP="009A32EF">
            <w:pPr>
              <w:pStyle w:val="NoSpacing"/>
              <w:ind w:firstLine="0"/>
              <w:rPr>
                <w:szCs w:val="20"/>
                <w:lang w:val="en-US"/>
              </w:rPr>
            </w:pPr>
            <w:r w:rsidRPr="006A3DE8">
              <w:rPr>
                <w:szCs w:val="20"/>
                <w:lang w:val="en-US"/>
              </w:rPr>
              <w:t>0.50</w:t>
            </w:r>
          </w:p>
        </w:tc>
        <w:tc>
          <w:tcPr>
            <w:tcW w:w="1233" w:type="dxa"/>
            <w:tcBorders>
              <w:top w:val="nil"/>
              <w:left w:val="nil"/>
              <w:bottom w:val="single" w:sz="4" w:space="0" w:color="auto"/>
              <w:right w:val="nil"/>
            </w:tcBorders>
          </w:tcPr>
          <w:p w14:paraId="10CB332D" w14:textId="2EF4BB67" w:rsidR="009A32EF" w:rsidRPr="006A3DE8" w:rsidRDefault="009A32EF" w:rsidP="009A32EF">
            <w:pPr>
              <w:pStyle w:val="NoSpacing"/>
              <w:ind w:firstLine="0"/>
              <w:rPr>
                <w:szCs w:val="20"/>
                <w:lang w:val="en-US"/>
              </w:rPr>
            </w:pPr>
            <w:r w:rsidRPr="006A3DE8">
              <w:rPr>
                <w:szCs w:val="20"/>
                <w:lang w:val="en-US"/>
              </w:rPr>
              <w:t>136</w:t>
            </w:r>
          </w:p>
        </w:tc>
        <w:tc>
          <w:tcPr>
            <w:tcW w:w="1409" w:type="dxa"/>
            <w:tcBorders>
              <w:top w:val="nil"/>
              <w:left w:val="nil"/>
              <w:bottom w:val="single" w:sz="4" w:space="0" w:color="auto"/>
              <w:right w:val="nil"/>
            </w:tcBorders>
          </w:tcPr>
          <w:p w14:paraId="18FD3CBE" w14:textId="315B21AF" w:rsidR="009A32EF" w:rsidRPr="006A3DE8" w:rsidRDefault="009A32EF" w:rsidP="009A32EF">
            <w:pPr>
              <w:pStyle w:val="NoSpacing"/>
              <w:ind w:firstLine="0"/>
              <w:rPr>
                <w:szCs w:val="20"/>
                <w:lang w:val="en-US"/>
              </w:rPr>
            </w:pPr>
            <w:r w:rsidRPr="006A3DE8">
              <w:rPr>
                <w:szCs w:val="20"/>
                <w:lang w:val="en-US"/>
              </w:rPr>
              <w:t>0.41</w:t>
            </w:r>
          </w:p>
        </w:tc>
        <w:tc>
          <w:tcPr>
            <w:tcW w:w="1409" w:type="dxa"/>
            <w:tcBorders>
              <w:top w:val="nil"/>
              <w:left w:val="nil"/>
              <w:bottom w:val="single" w:sz="4" w:space="0" w:color="auto"/>
              <w:right w:val="single" w:sz="4" w:space="0" w:color="auto"/>
            </w:tcBorders>
          </w:tcPr>
          <w:p w14:paraId="2A5712AB" w14:textId="535D38E8" w:rsidR="009A32EF" w:rsidRPr="006A3DE8" w:rsidRDefault="009A32EF" w:rsidP="009A32EF">
            <w:pPr>
              <w:pStyle w:val="NoSpacing"/>
              <w:ind w:firstLine="0"/>
              <w:rPr>
                <w:szCs w:val="20"/>
                <w:lang w:val="en-US"/>
              </w:rPr>
            </w:pPr>
            <w:r w:rsidRPr="006A3DE8">
              <w:rPr>
                <w:b/>
                <w:bCs/>
                <w:szCs w:val="20"/>
                <w:lang w:val="en-US"/>
              </w:rPr>
              <w:t>157</w:t>
            </w:r>
          </w:p>
        </w:tc>
      </w:tr>
      <w:tr w:rsidR="009A32EF" w:rsidRPr="006A3DE8" w14:paraId="1476C431" w14:textId="5FF43137" w:rsidTr="00C73672">
        <w:trPr>
          <w:trHeight w:val="290"/>
        </w:trPr>
        <w:tc>
          <w:tcPr>
            <w:tcW w:w="1039" w:type="dxa"/>
            <w:vMerge w:val="restart"/>
            <w:tcBorders>
              <w:bottom w:val="nil"/>
              <w:right w:val="nil"/>
            </w:tcBorders>
          </w:tcPr>
          <w:p w14:paraId="26AC2573" w14:textId="5E5122C9" w:rsidR="009A32EF" w:rsidRPr="006A3DE8" w:rsidRDefault="009A32EF" w:rsidP="009A32EF">
            <w:pPr>
              <w:pStyle w:val="NoSpacing"/>
              <w:ind w:firstLine="0"/>
              <w:rPr>
                <w:szCs w:val="20"/>
                <w:lang w:val="en-US"/>
              </w:rPr>
            </w:pPr>
            <w:r w:rsidRPr="006A3DE8">
              <w:rPr>
                <w:szCs w:val="20"/>
                <w:lang w:val="en-US"/>
              </w:rPr>
              <w:t>Task 5</w:t>
            </w:r>
          </w:p>
        </w:tc>
        <w:tc>
          <w:tcPr>
            <w:tcW w:w="1305" w:type="dxa"/>
            <w:tcBorders>
              <w:left w:val="nil"/>
              <w:bottom w:val="nil"/>
              <w:right w:val="nil"/>
            </w:tcBorders>
          </w:tcPr>
          <w:p w14:paraId="352582B9" w14:textId="3C69AF70" w:rsidR="009A32EF" w:rsidRPr="006A3DE8" w:rsidRDefault="009A32EF" w:rsidP="009A32EF">
            <w:pPr>
              <w:pStyle w:val="NoSpacing"/>
              <w:ind w:firstLine="0"/>
              <w:rPr>
                <w:szCs w:val="20"/>
                <w:lang w:val="en-US"/>
              </w:rPr>
            </w:pPr>
            <w:r w:rsidRPr="006A3DE8">
              <w:rPr>
                <w:szCs w:val="20"/>
                <w:lang w:val="en-US"/>
              </w:rPr>
              <w:t>Mode</w:t>
            </w:r>
          </w:p>
        </w:tc>
        <w:tc>
          <w:tcPr>
            <w:tcW w:w="1233" w:type="dxa"/>
            <w:tcBorders>
              <w:left w:val="nil"/>
              <w:bottom w:val="nil"/>
              <w:right w:val="nil"/>
            </w:tcBorders>
          </w:tcPr>
          <w:p w14:paraId="7B14C22E" w14:textId="708B2A90" w:rsidR="009A32EF" w:rsidRPr="006A3DE8" w:rsidRDefault="009A32EF" w:rsidP="009A32EF">
            <w:pPr>
              <w:pStyle w:val="NoSpacing"/>
              <w:ind w:firstLine="0"/>
              <w:rPr>
                <w:szCs w:val="20"/>
                <w:lang w:val="en-US"/>
              </w:rPr>
            </w:pPr>
            <w:r w:rsidRPr="006A3DE8">
              <w:rPr>
                <w:szCs w:val="20"/>
                <w:lang w:val="en-US"/>
              </w:rPr>
              <w:t>200</w:t>
            </w:r>
          </w:p>
        </w:tc>
        <w:tc>
          <w:tcPr>
            <w:tcW w:w="1133" w:type="dxa"/>
            <w:tcBorders>
              <w:left w:val="nil"/>
              <w:bottom w:val="nil"/>
              <w:right w:val="nil"/>
            </w:tcBorders>
          </w:tcPr>
          <w:p w14:paraId="666A49C8" w14:textId="0820BED2" w:rsidR="009A32EF" w:rsidRPr="006A3DE8" w:rsidRDefault="009A32EF" w:rsidP="009A32EF">
            <w:pPr>
              <w:pStyle w:val="NoSpacing"/>
              <w:ind w:firstLine="0"/>
              <w:rPr>
                <w:szCs w:val="20"/>
                <w:lang w:val="en-US"/>
              </w:rPr>
            </w:pPr>
            <w:r w:rsidRPr="006A3DE8">
              <w:rPr>
                <w:szCs w:val="20"/>
                <w:lang w:val="en-US"/>
              </w:rPr>
              <w:t>0.51</w:t>
            </w:r>
          </w:p>
        </w:tc>
        <w:tc>
          <w:tcPr>
            <w:tcW w:w="1233" w:type="dxa"/>
            <w:tcBorders>
              <w:left w:val="nil"/>
              <w:bottom w:val="nil"/>
              <w:right w:val="nil"/>
            </w:tcBorders>
          </w:tcPr>
          <w:p w14:paraId="169D6D3A" w14:textId="75ED0145" w:rsidR="009A32EF" w:rsidRPr="006A3DE8" w:rsidRDefault="009A32EF" w:rsidP="009A32EF">
            <w:pPr>
              <w:pStyle w:val="NoSpacing"/>
              <w:ind w:firstLine="0"/>
              <w:rPr>
                <w:szCs w:val="20"/>
                <w:lang w:val="en-US"/>
              </w:rPr>
            </w:pPr>
            <w:r w:rsidRPr="006A3DE8">
              <w:rPr>
                <w:szCs w:val="20"/>
                <w:lang w:val="en-US"/>
              </w:rPr>
              <w:t>312</w:t>
            </w:r>
          </w:p>
        </w:tc>
        <w:tc>
          <w:tcPr>
            <w:tcW w:w="1409" w:type="dxa"/>
            <w:tcBorders>
              <w:left w:val="nil"/>
              <w:bottom w:val="nil"/>
              <w:right w:val="nil"/>
            </w:tcBorders>
          </w:tcPr>
          <w:p w14:paraId="6F7BF6E1" w14:textId="0B927F5F" w:rsidR="009A32EF" w:rsidRPr="006A3DE8" w:rsidRDefault="009A32EF" w:rsidP="009A32EF">
            <w:pPr>
              <w:pStyle w:val="NoSpacing"/>
              <w:ind w:firstLine="0"/>
              <w:rPr>
                <w:szCs w:val="20"/>
                <w:lang w:val="en-US"/>
              </w:rPr>
            </w:pPr>
            <w:r w:rsidRPr="006A3DE8">
              <w:rPr>
                <w:szCs w:val="20"/>
                <w:lang w:val="en-US"/>
              </w:rPr>
              <w:t>0.83</w:t>
            </w:r>
          </w:p>
        </w:tc>
        <w:tc>
          <w:tcPr>
            <w:tcW w:w="1409" w:type="dxa"/>
            <w:tcBorders>
              <w:left w:val="nil"/>
              <w:bottom w:val="nil"/>
              <w:right w:val="single" w:sz="4" w:space="0" w:color="auto"/>
            </w:tcBorders>
          </w:tcPr>
          <w:p w14:paraId="1DACE0E2" w14:textId="3A5D093A" w:rsidR="009A32EF" w:rsidRPr="006A3DE8" w:rsidRDefault="009A32EF" w:rsidP="009A32EF">
            <w:pPr>
              <w:pStyle w:val="NoSpacing"/>
              <w:ind w:firstLine="0"/>
              <w:rPr>
                <w:szCs w:val="20"/>
                <w:lang w:val="en-US"/>
              </w:rPr>
            </w:pPr>
            <w:r w:rsidRPr="006A3DE8">
              <w:rPr>
                <w:szCs w:val="20"/>
                <w:lang w:val="en-US"/>
              </w:rPr>
              <w:t>393</w:t>
            </w:r>
          </w:p>
        </w:tc>
      </w:tr>
      <w:tr w:rsidR="009A32EF" w:rsidRPr="006A3DE8" w14:paraId="6229827A" w14:textId="43A54140" w:rsidTr="00C73672">
        <w:trPr>
          <w:trHeight w:val="290"/>
        </w:trPr>
        <w:tc>
          <w:tcPr>
            <w:tcW w:w="1039" w:type="dxa"/>
            <w:vMerge/>
            <w:tcBorders>
              <w:top w:val="nil"/>
              <w:bottom w:val="nil"/>
              <w:right w:val="nil"/>
            </w:tcBorders>
          </w:tcPr>
          <w:p w14:paraId="046D89FF" w14:textId="77777777" w:rsidR="009A32EF" w:rsidRPr="006A3DE8" w:rsidRDefault="009A32EF" w:rsidP="009A32EF">
            <w:pPr>
              <w:pStyle w:val="NoSpacing"/>
              <w:ind w:firstLine="0"/>
              <w:rPr>
                <w:szCs w:val="20"/>
                <w:lang w:val="en-US"/>
              </w:rPr>
            </w:pPr>
          </w:p>
        </w:tc>
        <w:tc>
          <w:tcPr>
            <w:tcW w:w="1305" w:type="dxa"/>
            <w:tcBorders>
              <w:top w:val="nil"/>
              <w:left w:val="nil"/>
              <w:bottom w:val="nil"/>
              <w:right w:val="nil"/>
            </w:tcBorders>
          </w:tcPr>
          <w:p w14:paraId="7953A49F" w14:textId="3D7C3321" w:rsidR="009A32EF" w:rsidRPr="006A3DE8" w:rsidRDefault="009A32EF" w:rsidP="009A32EF">
            <w:pPr>
              <w:pStyle w:val="NoSpacing"/>
              <w:ind w:firstLine="0"/>
              <w:rPr>
                <w:szCs w:val="20"/>
                <w:lang w:val="en-US"/>
              </w:rPr>
            </w:pPr>
            <w:r w:rsidRPr="006A3DE8">
              <w:rPr>
                <w:szCs w:val="20"/>
                <w:lang w:val="en-US"/>
              </w:rPr>
              <w:t>Median</w:t>
            </w:r>
          </w:p>
        </w:tc>
        <w:tc>
          <w:tcPr>
            <w:tcW w:w="1233" w:type="dxa"/>
            <w:tcBorders>
              <w:top w:val="nil"/>
              <w:left w:val="nil"/>
              <w:bottom w:val="nil"/>
              <w:right w:val="nil"/>
            </w:tcBorders>
          </w:tcPr>
          <w:p w14:paraId="18DF4F51" w14:textId="59010E34" w:rsidR="009A32EF" w:rsidRPr="006A3DE8" w:rsidRDefault="009A32EF" w:rsidP="009A32EF">
            <w:pPr>
              <w:pStyle w:val="NoSpacing"/>
              <w:ind w:firstLine="0"/>
              <w:rPr>
                <w:szCs w:val="20"/>
                <w:lang w:val="en-US"/>
              </w:rPr>
            </w:pPr>
            <w:r w:rsidRPr="006A3DE8">
              <w:rPr>
                <w:szCs w:val="20"/>
                <w:lang w:val="en-US"/>
              </w:rPr>
              <w:t>505</w:t>
            </w:r>
          </w:p>
        </w:tc>
        <w:tc>
          <w:tcPr>
            <w:tcW w:w="1133" w:type="dxa"/>
            <w:tcBorders>
              <w:top w:val="nil"/>
              <w:left w:val="nil"/>
              <w:bottom w:val="nil"/>
              <w:right w:val="nil"/>
            </w:tcBorders>
          </w:tcPr>
          <w:p w14:paraId="49F28B1A" w14:textId="46FBC314" w:rsidR="009A32EF" w:rsidRPr="006A3DE8" w:rsidRDefault="009A32EF" w:rsidP="009A32EF">
            <w:pPr>
              <w:pStyle w:val="NoSpacing"/>
              <w:ind w:firstLine="0"/>
              <w:rPr>
                <w:b/>
                <w:bCs/>
                <w:szCs w:val="20"/>
                <w:lang w:val="en-US"/>
              </w:rPr>
            </w:pPr>
            <w:r w:rsidRPr="006A3DE8">
              <w:rPr>
                <w:b/>
                <w:bCs/>
                <w:szCs w:val="20"/>
                <w:lang w:val="en-US"/>
              </w:rPr>
              <w:t>0.48</w:t>
            </w:r>
          </w:p>
        </w:tc>
        <w:tc>
          <w:tcPr>
            <w:tcW w:w="1233" w:type="dxa"/>
            <w:tcBorders>
              <w:top w:val="nil"/>
              <w:left w:val="nil"/>
              <w:bottom w:val="nil"/>
              <w:right w:val="nil"/>
            </w:tcBorders>
          </w:tcPr>
          <w:p w14:paraId="78CF3284" w14:textId="202CC6F3" w:rsidR="009A32EF" w:rsidRPr="006A3DE8" w:rsidRDefault="009A32EF" w:rsidP="009A32EF">
            <w:pPr>
              <w:pStyle w:val="NoSpacing"/>
              <w:ind w:firstLine="0"/>
              <w:rPr>
                <w:b/>
                <w:bCs/>
                <w:szCs w:val="20"/>
                <w:lang w:val="en-US"/>
              </w:rPr>
            </w:pPr>
            <w:r w:rsidRPr="006A3DE8">
              <w:rPr>
                <w:b/>
                <w:bCs/>
                <w:szCs w:val="20"/>
                <w:lang w:val="en-US"/>
              </w:rPr>
              <w:t>192</w:t>
            </w:r>
          </w:p>
        </w:tc>
        <w:tc>
          <w:tcPr>
            <w:tcW w:w="1409" w:type="dxa"/>
            <w:tcBorders>
              <w:top w:val="nil"/>
              <w:left w:val="nil"/>
              <w:bottom w:val="nil"/>
              <w:right w:val="nil"/>
            </w:tcBorders>
          </w:tcPr>
          <w:p w14:paraId="75D0686E" w14:textId="78025F0F" w:rsidR="009A32EF" w:rsidRPr="006A3DE8" w:rsidRDefault="009A32EF" w:rsidP="009A32EF">
            <w:pPr>
              <w:pStyle w:val="NoSpacing"/>
              <w:ind w:firstLine="0"/>
              <w:rPr>
                <w:b/>
                <w:bCs/>
                <w:szCs w:val="20"/>
                <w:lang w:val="en-US"/>
              </w:rPr>
            </w:pPr>
            <w:r w:rsidRPr="006A3DE8">
              <w:rPr>
                <w:b/>
                <w:bCs/>
                <w:szCs w:val="20"/>
                <w:lang w:val="en-US"/>
              </w:rPr>
              <w:t>0.40</w:t>
            </w:r>
          </w:p>
        </w:tc>
        <w:tc>
          <w:tcPr>
            <w:tcW w:w="1409" w:type="dxa"/>
            <w:tcBorders>
              <w:top w:val="nil"/>
              <w:left w:val="nil"/>
              <w:bottom w:val="nil"/>
              <w:right w:val="single" w:sz="4" w:space="0" w:color="auto"/>
            </w:tcBorders>
          </w:tcPr>
          <w:p w14:paraId="77A8F325" w14:textId="1E37D3F5" w:rsidR="009A32EF" w:rsidRPr="006A3DE8" w:rsidRDefault="009A32EF" w:rsidP="009A32EF">
            <w:pPr>
              <w:pStyle w:val="NoSpacing"/>
              <w:ind w:firstLine="0"/>
              <w:rPr>
                <w:b/>
                <w:bCs/>
                <w:szCs w:val="20"/>
                <w:lang w:val="en-US"/>
              </w:rPr>
            </w:pPr>
            <w:r w:rsidRPr="006A3DE8">
              <w:rPr>
                <w:b/>
                <w:bCs/>
                <w:szCs w:val="20"/>
                <w:lang w:val="en-US"/>
              </w:rPr>
              <w:t>239</w:t>
            </w:r>
          </w:p>
        </w:tc>
      </w:tr>
      <w:tr w:rsidR="009A32EF" w:rsidRPr="006A3DE8" w14:paraId="6E8CC006" w14:textId="648950B7" w:rsidTr="00C73672">
        <w:trPr>
          <w:trHeight w:val="290"/>
        </w:trPr>
        <w:tc>
          <w:tcPr>
            <w:tcW w:w="1039" w:type="dxa"/>
            <w:vMerge/>
            <w:tcBorders>
              <w:top w:val="nil"/>
              <w:right w:val="nil"/>
            </w:tcBorders>
          </w:tcPr>
          <w:p w14:paraId="70FC3639" w14:textId="77777777" w:rsidR="009A32EF" w:rsidRPr="006A3DE8" w:rsidRDefault="009A32EF" w:rsidP="009A32EF">
            <w:pPr>
              <w:pStyle w:val="NoSpacing"/>
              <w:ind w:firstLine="0"/>
              <w:rPr>
                <w:szCs w:val="20"/>
                <w:lang w:val="en-US"/>
              </w:rPr>
            </w:pPr>
          </w:p>
        </w:tc>
        <w:tc>
          <w:tcPr>
            <w:tcW w:w="1305" w:type="dxa"/>
            <w:tcBorders>
              <w:top w:val="nil"/>
              <w:left w:val="nil"/>
              <w:right w:val="nil"/>
            </w:tcBorders>
          </w:tcPr>
          <w:p w14:paraId="16B91E33" w14:textId="60C251DA" w:rsidR="009A32EF" w:rsidRPr="006A3DE8" w:rsidRDefault="009A32EF" w:rsidP="009A32EF">
            <w:pPr>
              <w:pStyle w:val="NoSpacing"/>
              <w:ind w:firstLine="0"/>
              <w:rPr>
                <w:szCs w:val="20"/>
                <w:lang w:val="en-US"/>
              </w:rPr>
            </w:pPr>
            <w:r w:rsidRPr="006A3DE8">
              <w:rPr>
                <w:szCs w:val="20"/>
                <w:lang w:val="en-US"/>
              </w:rPr>
              <w:t>Mean</w:t>
            </w:r>
          </w:p>
        </w:tc>
        <w:tc>
          <w:tcPr>
            <w:tcW w:w="1233" w:type="dxa"/>
            <w:tcBorders>
              <w:top w:val="nil"/>
              <w:left w:val="nil"/>
              <w:right w:val="nil"/>
            </w:tcBorders>
          </w:tcPr>
          <w:p w14:paraId="56C84259" w14:textId="3144C43D" w:rsidR="009A32EF" w:rsidRPr="006A3DE8" w:rsidRDefault="009A32EF" w:rsidP="009A32EF">
            <w:pPr>
              <w:pStyle w:val="NoSpacing"/>
              <w:ind w:firstLine="0"/>
              <w:rPr>
                <w:szCs w:val="20"/>
                <w:lang w:val="en-US"/>
              </w:rPr>
            </w:pPr>
            <w:r w:rsidRPr="006A3DE8">
              <w:rPr>
                <w:szCs w:val="20"/>
                <w:lang w:val="en-US"/>
              </w:rPr>
              <w:t>509</w:t>
            </w:r>
          </w:p>
        </w:tc>
        <w:tc>
          <w:tcPr>
            <w:tcW w:w="1133" w:type="dxa"/>
            <w:tcBorders>
              <w:top w:val="nil"/>
              <w:left w:val="nil"/>
              <w:right w:val="nil"/>
            </w:tcBorders>
          </w:tcPr>
          <w:p w14:paraId="5BA63688" w14:textId="11C76F2A" w:rsidR="009A32EF" w:rsidRPr="006A3DE8" w:rsidRDefault="009A32EF" w:rsidP="009A32EF">
            <w:pPr>
              <w:pStyle w:val="NoSpacing"/>
              <w:ind w:firstLine="0"/>
              <w:rPr>
                <w:szCs w:val="20"/>
                <w:lang w:val="en-US"/>
              </w:rPr>
            </w:pPr>
            <w:r w:rsidRPr="006A3DE8">
              <w:rPr>
                <w:szCs w:val="20"/>
                <w:lang w:val="en-US"/>
              </w:rPr>
              <w:t>0.49</w:t>
            </w:r>
          </w:p>
        </w:tc>
        <w:tc>
          <w:tcPr>
            <w:tcW w:w="1233" w:type="dxa"/>
            <w:tcBorders>
              <w:top w:val="nil"/>
              <w:left w:val="nil"/>
              <w:right w:val="nil"/>
            </w:tcBorders>
          </w:tcPr>
          <w:p w14:paraId="1286F652" w14:textId="35A6CC6F" w:rsidR="009A32EF" w:rsidRPr="006A3DE8" w:rsidRDefault="009A32EF" w:rsidP="009A32EF">
            <w:pPr>
              <w:pStyle w:val="NoSpacing"/>
              <w:ind w:firstLine="0"/>
              <w:rPr>
                <w:szCs w:val="20"/>
                <w:lang w:val="en-US"/>
              </w:rPr>
            </w:pPr>
            <w:r w:rsidRPr="006A3DE8">
              <w:rPr>
                <w:szCs w:val="20"/>
                <w:lang w:val="en-US"/>
              </w:rPr>
              <w:t>193</w:t>
            </w:r>
          </w:p>
        </w:tc>
        <w:tc>
          <w:tcPr>
            <w:tcW w:w="1409" w:type="dxa"/>
            <w:tcBorders>
              <w:top w:val="nil"/>
              <w:left w:val="nil"/>
              <w:right w:val="nil"/>
            </w:tcBorders>
          </w:tcPr>
          <w:p w14:paraId="63D21FEA" w14:textId="14ECF046" w:rsidR="009A32EF" w:rsidRPr="006A3DE8" w:rsidRDefault="009A32EF" w:rsidP="009A32EF">
            <w:pPr>
              <w:pStyle w:val="NoSpacing"/>
              <w:ind w:firstLine="0"/>
              <w:rPr>
                <w:b/>
                <w:bCs/>
                <w:szCs w:val="20"/>
                <w:lang w:val="en-US"/>
              </w:rPr>
            </w:pPr>
            <w:r w:rsidRPr="006A3DE8">
              <w:rPr>
                <w:b/>
                <w:bCs/>
                <w:szCs w:val="20"/>
                <w:lang w:val="en-US"/>
              </w:rPr>
              <w:t>0.40</w:t>
            </w:r>
          </w:p>
        </w:tc>
        <w:tc>
          <w:tcPr>
            <w:tcW w:w="1409" w:type="dxa"/>
            <w:tcBorders>
              <w:top w:val="nil"/>
              <w:left w:val="nil"/>
              <w:right w:val="single" w:sz="4" w:space="0" w:color="auto"/>
            </w:tcBorders>
          </w:tcPr>
          <w:p w14:paraId="2A1F5D51" w14:textId="5ECB2855" w:rsidR="009A32EF" w:rsidRPr="006A3DE8" w:rsidRDefault="009A32EF" w:rsidP="009A32EF">
            <w:pPr>
              <w:pStyle w:val="NoSpacing"/>
              <w:ind w:firstLine="0"/>
              <w:rPr>
                <w:b/>
                <w:bCs/>
                <w:szCs w:val="20"/>
                <w:lang w:val="en-US"/>
              </w:rPr>
            </w:pPr>
            <w:r w:rsidRPr="006A3DE8">
              <w:rPr>
                <w:b/>
                <w:bCs/>
                <w:szCs w:val="20"/>
                <w:lang w:val="en-US"/>
              </w:rPr>
              <w:t>239</w:t>
            </w:r>
          </w:p>
        </w:tc>
      </w:tr>
    </w:tbl>
    <w:p w14:paraId="42D0C375" w14:textId="7DC7BAA2" w:rsidR="00564773" w:rsidRPr="006A3DE8" w:rsidRDefault="00564773" w:rsidP="00564773">
      <w:pPr>
        <w:rPr>
          <w:szCs w:val="20"/>
          <w:lang w:val="en-US"/>
        </w:rPr>
      </w:pPr>
    </w:p>
    <w:p w14:paraId="32EDB398" w14:textId="5E26C991" w:rsidR="00BE19FE" w:rsidRDefault="00CB1BDC" w:rsidP="00CB1BDC">
      <w:pPr>
        <w:rPr>
          <w:szCs w:val="20"/>
          <w:lang w:val="en-US"/>
        </w:rPr>
      </w:pPr>
      <w:r w:rsidRPr="00F77183">
        <w:rPr>
          <w:szCs w:val="20"/>
          <w:lang w:val="en-US"/>
        </w:rPr>
        <w:t>Fro</w:t>
      </w:r>
      <w:r w:rsidRPr="009F278A">
        <w:rPr>
          <w:szCs w:val="20"/>
          <w:lang w:val="en-US"/>
        </w:rPr>
        <w:t>m Table 1, we observe that t</w:t>
      </w:r>
      <w:r w:rsidRPr="007B5CBA">
        <w:rPr>
          <w:szCs w:val="20"/>
          <w:lang w:val="en-US"/>
        </w:rPr>
        <w:t>he estimates of the mode gave</w:t>
      </w:r>
      <w:r>
        <w:rPr>
          <w:szCs w:val="20"/>
          <w:lang w:val="en-US"/>
        </w:rPr>
        <w:t xml:space="preserve"> </w:t>
      </w:r>
      <w:r w:rsidRPr="007B5CBA">
        <w:rPr>
          <w:szCs w:val="20"/>
          <w:lang w:val="en-US"/>
        </w:rPr>
        <w:t xml:space="preserve">better MMRE for </w:t>
      </w:r>
      <w:r>
        <w:rPr>
          <w:szCs w:val="20"/>
          <w:lang w:val="en-US"/>
        </w:rPr>
        <w:t>T</w:t>
      </w:r>
      <w:r w:rsidRPr="007B5CBA">
        <w:rPr>
          <w:szCs w:val="20"/>
          <w:lang w:val="en-US"/>
        </w:rPr>
        <w:t>asks 1, 3 and 4</w:t>
      </w:r>
      <w:r w:rsidR="00B12A81">
        <w:rPr>
          <w:szCs w:val="20"/>
          <w:lang w:val="en-US"/>
        </w:rPr>
        <w:t xml:space="preserve">, but not for </w:t>
      </w:r>
      <w:r>
        <w:rPr>
          <w:szCs w:val="20"/>
          <w:lang w:val="en-US"/>
        </w:rPr>
        <w:t>Tasks 2 and 5</w:t>
      </w:r>
      <w:r w:rsidR="00321EE0">
        <w:rPr>
          <w:szCs w:val="20"/>
          <w:lang w:val="en-US"/>
        </w:rPr>
        <w:t xml:space="preserve"> (although close to the best)</w:t>
      </w:r>
      <w:r>
        <w:rPr>
          <w:szCs w:val="20"/>
          <w:lang w:val="en-US"/>
        </w:rPr>
        <w:t xml:space="preserve">. By inspecting the distributions in Figure 1, </w:t>
      </w:r>
      <w:r w:rsidR="00E47A92">
        <w:rPr>
          <w:szCs w:val="20"/>
          <w:lang w:val="en-US"/>
        </w:rPr>
        <w:t>we</w:t>
      </w:r>
      <w:r>
        <w:rPr>
          <w:szCs w:val="20"/>
          <w:lang w:val="en-US"/>
        </w:rPr>
        <w:t xml:space="preserve"> observe that t</w:t>
      </w:r>
      <w:r w:rsidRPr="006A3DE8">
        <w:rPr>
          <w:szCs w:val="20"/>
          <w:lang w:val="en-US"/>
        </w:rPr>
        <w:t>he shapes of the effort distributions for Tasks 1, 3 and 4 are similar to those of lognormal distributions</w:t>
      </w:r>
      <w:r>
        <w:rPr>
          <w:szCs w:val="20"/>
          <w:lang w:val="en-US"/>
        </w:rPr>
        <w:t xml:space="preserve">, whereas </w:t>
      </w:r>
      <w:r w:rsidR="008D414D">
        <w:rPr>
          <w:szCs w:val="20"/>
          <w:lang w:val="en-US"/>
        </w:rPr>
        <w:t>those</w:t>
      </w:r>
      <w:r w:rsidRPr="006A3DE8">
        <w:rPr>
          <w:szCs w:val="20"/>
          <w:lang w:val="en-US"/>
        </w:rPr>
        <w:t xml:space="preserve"> of Tasks 2 and 5</w:t>
      </w:r>
      <w:r>
        <w:rPr>
          <w:szCs w:val="20"/>
          <w:lang w:val="en-US"/>
        </w:rPr>
        <w:t xml:space="preserve"> </w:t>
      </w:r>
      <w:r w:rsidR="007B0099">
        <w:rPr>
          <w:szCs w:val="20"/>
          <w:lang w:val="en-US"/>
        </w:rPr>
        <w:t>deviate</w:t>
      </w:r>
      <w:r w:rsidRPr="006A3DE8">
        <w:rPr>
          <w:szCs w:val="20"/>
          <w:lang w:val="en-US"/>
        </w:rPr>
        <w:t xml:space="preserve"> more. While a lognormal distribution is flexible</w:t>
      </w:r>
      <w:r>
        <w:rPr>
          <w:szCs w:val="20"/>
          <w:lang w:val="en-US"/>
        </w:rPr>
        <w:t>,</w:t>
      </w:r>
      <w:r w:rsidRPr="006A3DE8">
        <w:rPr>
          <w:szCs w:val="20"/>
          <w:lang w:val="en-US"/>
        </w:rPr>
        <w:t xml:space="preserve"> it may not be </w:t>
      </w:r>
      <w:r w:rsidR="00321EE0">
        <w:rPr>
          <w:szCs w:val="20"/>
          <w:lang w:val="en-US"/>
        </w:rPr>
        <w:t>optimal</w:t>
      </w:r>
      <w:r w:rsidRPr="006A3DE8">
        <w:rPr>
          <w:szCs w:val="20"/>
          <w:lang w:val="en-US"/>
        </w:rPr>
        <w:t xml:space="preserve"> fit for all effort outcome distributions.</w:t>
      </w:r>
    </w:p>
    <w:p w14:paraId="62949E78" w14:textId="6A3E4D9B" w:rsidR="00C02455" w:rsidRDefault="00CB1BDC" w:rsidP="009B6C0F">
      <w:pPr>
        <w:rPr>
          <w:szCs w:val="20"/>
          <w:lang w:val="en-US"/>
        </w:rPr>
      </w:pPr>
      <w:r w:rsidRPr="006A3DE8">
        <w:rPr>
          <w:szCs w:val="20"/>
          <w:lang w:val="en-US"/>
        </w:rPr>
        <w:t xml:space="preserve">The </w:t>
      </w:r>
      <w:r w:rsidR="00E22B29">
        <w:rPr>
          <w:szCs w:val="20"/>
          <w:lang w:val="en-US"/>
        </w:rPr>
        <w:t xml:space="preserve">theoretically </w:t>
      </w:r>
      <w:r w:rsidRPr="006A3DE8">
        <w:rPr>
          <w:szCs w:val="20"/>
          <w:lang w:val="en-US"/>
        </w:rPr>
        <w:t xml:space="preserve">minimizing types of estimates for </w:t>
      </w:r>
      <w:r w:rsidR="00F0391F">
        <w:rPr>
          <w:szCs w:val="20"/>
          <w:lang w:val="en-US"/>
        </w:rPr>
        <w:t xml:space="preserve">MMRE (mode for lognormal distributions), </w:t>
      </w:r>
      <w:r w:rsidRPr="006A3DE8">
        <w:rPr>
          <w:szCs w:val="20"/>
          <w:lang w:val="en-US"/>
        </w:rPr>
        <w:t>MAE (median), MARL (median) and RMSE (mean)</w:t>
      </w:r>
      <w:r w:rsidR="00BE19FE">
        <w:rPr>
          <w:szCs w:val="20"/>
          <w:lang w:val="en-US"/>
        </w:rPr>
        <w:t xml:space="preserve">, </w:t>
      </w:r>
      <w:r w:rsidRPr="006A3DE8">
        <w:rPr>
          <w:szCs w:val="20"/>
          <w:lang w:val="en-US"/>
        </w:rPr>
        <w:t>correspond well with what is actually minimiz</w:t>
      </w:r>
      <w:r>
        <w:rPr>
          <w:szCs w:val="20"/>
          <w:lang w:val="en-US"/>
        </w:rPr>
        <w:t>ed in Table 1</w:t>
      </w:r>
      <w:r w:rsidRPr="006A3DE8">
        <w:rPr>
          <w:szCs w:val="20"/>
          <w:lang w:val="en-US"/>
        </w:rPr>
        <w:t>. This support the use of different types of accuracy measures for different types of estimates, and</w:t>
      </w:r>
      <w:r>
        <w:rPr>
          <w:szCs w:val="20"/>
          <w:lang w:val="en-US"/>
        </w:rPr>
        <w:t xml:space="preserve"> underlines</w:t>
      </w:r>
      <w:r w:rsidRPr="006A3DE8">
        <w:rPr>
          <w:szCs w:val="20"/>
          <w:lang w:val="en-US"/>
        </w:rPr>
        <w:t xml:space="preserve"> the importance of knowing what types of estimates </w:t>
      </w:r>
      <w:r>
        <w:rPr>
          <w:szCs w:val="20"/>
          <w:lang w:val="en-US"/>
        </w:rPr>
        <w:t>one is evaluating</w:t>
      </w:r>
      <w:r w:rsidR="000434BC">
        <w:rPr>
          <w:szCs w:val="20"/>
          <w:lang w:val="en-US"/>
        </w:rPr>
        <w:t xml:space="preserve"> and select a proper error measure.</w:t>
      </w:r>
      <w:r w:rsidR="00720A48">
        <w:rPr>
          <w:szCs w:val="20"/>
          <w:lang w:val="en-US"/>
        </w:rPr>
        <w:t xml:space="preserve"> Evaluating estimates of the mean effort using MMRE will typically not enable a fair evaluation, while evaluating estimates of the most likely (mode) may frequently be acceptable.</w:t>
      </w:r>
    </w:p>
    <w:p w14:paraId="73342FB0" w14:textId="6AC7D4C0" w:rsidR="00AE11D1" w:rsidRPr="009B6C0F" w:rsidRDefault="00AE11D1" w:rsidP="009B6C0F">
      <w:pPr>
        <w:rPr>
          <w:lang w:val="en-US"/>
        </w:rPr>
      </w:pPr>
      <w:r>
        <w:rPr>
          <w:szCs w:val="20"/>
          <w:lang w:val="en-US"/>
        </w:rPr>
        <w:t xml:space="preserve">While the estimates of the mode, the median and mean </w:t>
      </w:r>
      <w:r w:rsidR="004F75A7">
        <w:rPr>
          <w:szCs w:val="20"/>
          <w:lang w:val="en-US"/>
        </w:rPr>
        <w:t xml:space="preserve">effort </w:t>
      </w:r>
      <w:r>
        <w:rPr>
          <w:szCs w:val="20"/>
          <w:lang w:val="en-US"/>
        </w:rPr>
        <w:t xml:space="preserve">in Table 1 </w:t>
      </w:r>
      <w:r w:rsidR="00F31378">
        <w:rPr>
          <w:szCs w:val="20"/>
          <w:lang w:val="en-US"/>
        </w:rPr>
        <w:t>tend to be</w:t>
      </w:r>
      <w:r>
        <w:rPr>
          <w:szCs w:val="20"/>
          <w:lang w:val="en-US"/>
        </w:rPr>
        <w:t xml:space="preserve"> </w:t>
      </w:r>
      <w:r w:rsidR="00F31378">
        <w:rPr>
          <w:szCs w:val="20"/>
          <w:lang w:val="en-US"/>
        </w:rPr>
        <w:t>quite</w:t>
      </w:r>
      <w:r>
        <w:rPr>
          <w:szCs w:val="20"/>
          <w:lang w:val="en-US"/>
        </w:rPr>
        <w:t xml:space="preserve"> different</w:t>
      </w:r>
      <w:r w:rsidR="00F31378">
        <w:rPr>
          <w:szCs w:val="20"/>
          <w:lang w:val="en-US"/>
        </w:rPr>
        <w:t xml:space="preserve"> (</w:t>
      </w:r>
      <w:r w:rsidR="00165F34">
        <w:rPr>
          <w:szCs w:val="20"/>
          <w:lang w:val="en-US"/>
        </w:rPr>
        <w:t xml:space="preserve">the </w:t>
      </w:r>
      <w:r w:rsidR="002A16F5">
        <w:rPr>
          <w:szCs w:val="20"/>
          <w:lang w:val="en-US"/>
        </w:rPr>
        <w:t xml:space="preserve">mode is </w:t>
      </w:r>
      <w:r w:rsidR="00165F34">
        <w:rPr>
          <w:szCs w:val="20"/>
          <w:lang w:val="en-US"/>
        </w:rPr>
        <w:t xml:space="preserve">for example </w:t>
      </w:r>
      <w:r w:rsidR="002A16F5">
        <w:rPr>
          <w:szCs w:val="20"/>
          <w:lang w:val="en-US"/>
        </w:rPr>
        <w:t xml:space="preserve">on average </w:t>
      </w:r>
      <w:r w:rsidR="00165F34">
        <w:rPr>
          <w:szCs w:val="20"/>
          <w:lang w:val="en-US"/>
        </w:rPr>
        <w:t xml:space="preserve">only </w:t>
      </w:r>
      <w:r w:rsidR="002A16F5">
        <w:rPr>
          <w:szCs w:val="20"/>
          <w:lang w:val="en-US"/>
        </w:rPr>
        <w:t>66</w:t>
      </w:r>
      <w:r w:rsidR="00F31378">
        <w:rPr>
          <w:szCs w:val="20"/>
          <w:lang w:val="en-US"/>
        </w:rPr>
        <w:t>%</w:t>
      </w:r>
      <w:r w:rsidR="002A16F5">
        <w:rPr>
          <w:szCs w:val="20"/>
          <w:lang w:val="en-US"/>
        </w:rPr>
        <w:t xml:space="preserve"> of the mean</w:t>
      </w:r>
      <w:r w:rsidR="005A05EA">
        <w:rPr>
          <w:szCs w:val="20"/>
          <w:lang w:val="en-US"/>
        </w:rPr>
        <w:t xml:space="preserve"> effort</w:t>
      </w:r>
      <w:r w:rsidR="00F31378">
        <w:rPr>
          <w:szCs w:val="20"/>
          <w:lang w:val="en-US"/>
        </w:rPr>
        <w:t>)</w:t>
      </w:r>
      <w:r>
        <w:rPr>
          <w:szCs w:val="20"/>
          <w:lang w:val="en-US"/>
        </w:rPr>
        <w:t>, the MMRE-values are deviating less</w:t>
      </w:r>
      <w:r w:rsidR="00F31378">
        <w:rPr>
          <w:szCs w:val="20"/>
          <w:lang w:val="en-US"/>
        </w:rPr>
        <w:t xml:space="preserve"> (</w:t>
      </w:r>
      <w:r w:rsidR="007902E6">
        <w:rPr>
          <w:szCs w:val="20"/>
          <w:lang w:val="en-US"/>
        </w:rPr>
        <w:t>the MMRE of the mode is on average 86</w:t>
      </w:r>
      <w:r w:rsidR="00F31378">
        <w:rPr>
          <w:szCs w:val="20"/>
          <w:lang w:val="en-US"/>
        </w:rPr>
        <w:t>%</w:t>
      </w:r>
      <w:r w:rsidR="007902E6">
        <w:rPr>
          <w:szCs w:val="20"/>
          <w:lang w:val="en-US"/>
        </w:rPr>
        <w:t xml:space="preserve"> of the mean</w:t>
      </w:r>
      <w:r w:rsidR="00E86C70">
        <w:rPr>
          <w:szCs w:val="20"/>
          <w:lang w:val="en-US"/>
        </w:rPr>
        <w:t xml:space="preserve"> effort</w:t>
      </w:r>
      <w:r w:rsidR="00F31378">
        <w:rPr>
          <w:szCs w:val="20"/>
          <w:lang w:val="en-US"/>
        </w:rPr>
        <w:t>)</w:t>
      </w:r>
      <w:r>
        <w:rPr>
          <w:szCs w:val="20"/>
          <w:lang w:val="en-US"/>
        </w:rPr>
        <w:t>. This observation</w:t>
      </w:r>
      <w:r w:rsidR="00115AA6">
        <w:rPr>
          <w:szCs w:val="20"/>
          <w:lang w:val="en-US"/>
        </w:rPr>
        <w:t xml:space="preserve">, does not </w:t>
      </w:r>
      <w:r w:rsidR="006337FE">
        <w:rPr>
          <w:szCs w:val="20"/>
          <w:lang w:val="en-US"/>
        </w:rPr>
        <w:t>imply</w:t>
      </w:r>
      <w:r w:rsidR="00115AA6">
        <w:rPr>
          <w:szCs w:val="20"/>
          <w:lang w:val="en-US"/>
        </w:rPr>
        <w:t xml:space="preserve"> that</w:t>
      </w:r>
      <w:r w:rsidR="006337FE">
        <w:rPr>
          <w:szCs w:val="20"/>
          <w:lang w:val="en-US"/>
        </w:rPr>
        <w:t xml:space="preserve"> the use of the</w:t>
      </w:r>
      <w:r w:rsidR="00115AA6">
        <w:rPr>
          <w:szCs w:val="20"/>
          <w:lang w:val="en-US"/>
        </w:rPr>
        <w:t xml:space="preserve"> MMRE </w:t>
      </w:r>
      <w:r w:rsidR="006638E3">
        <w:rPr>
          <w:szCs w:val="20"/>
          <w:lang w:val="en-US"/>
        </w:rPr>
        <w:t>can safely be</w:t>
      </w:r>
      <w:r w:rsidR="006337FE">
        <w:rPr>
          <w:szCs w:val="20"/>
          <w:lang w:val="en-US"/>
        </w:rPr>
        <w:t xml:space="preserve"> extended to be used for the</w:t>
      </w:r>
      <w:r w:rsidR="00115AA6">
        <w:rPr>
          <w:szCs w:val="20"/>
          <w:lang w:val="en-US"/>
        </w:rPr>
        <w:t xml:space="preserve"> </w:t>
      </w:r>
      <w:r w:rsidR="006638E3">
        <w:rPr>
          <w:szCs w:val="20"/>
          <w:lang w:val="en-US"/>
        </w:rPr>
        <w:t xml:space="preserve">evaluation of estimates of the </w:t>
      </w:r>
      <w:r w:rsidR="009C4DEA">
        <w:rPr>
          <w:szCs w:val="20"/>
          <w:lang w:val="en-US"/>
        </w:rPr>
        <w:t xml:space="preserve">median </w:t>
      </w:r>
      <w:r w:rsidR="00115AA6">
        <w:rPr>
          <w:szCs w:val="20"/>
          <w:lang w:val="en-US"/>
        </w:rPr>
        <w:t>or the me</w:t>
      </w:r>
      <w:r w:rsidR="009C4DEA">
        <w:rPr>
          <w:szCs w:val="20"/>
          <w:lang w:val="en-US"/>
        </w:rPr>
        <w:t>an</w:t>
      </w:r>
      <w:r w:rsidR="00115AA6">
        <w:rPr>
          <w:szCs w:val="20"/>
          <w:lang w:val="en-US"/>
        </w:rPr>
        <w:t xml:space="preserve"> effort.</w:t>
      </w:r>
      <w:r w:rsidR="008630FF">
        <w:rPr>
          <w:szCs w:val="20"/>
          <w:lang w:val="en-US"/>
        </w:rPr>
        <w:t xml:space="preserve"> The MMRE may in other context</w:t>
      </w:r>
      <w:r w:rsidR="00857A40">
        <w:rPr>
          <w:szCs w:val="20"/>
          <w:lang w:val="en-US"/>
        </w:rPr>
        <w:t xml:space="preserve">s differ </w:t>
      </w:r>
      <w:r w:rsidR="004B6C4C">
        <w:rPr>
          <w:szCs w:val="20"/>
          <w:lang w:val="en-US"/>
        </w:rPr>
        <w:t xml:space="preserve">substantially </w:t>
      </w:r>
      <w:r w:rsidR="00857A40">
        <w:rPr>
          <w:szCs w:val="20"/>
          <w:lang w:val="en-US"/>
        </w:rPr>
        <w:t>more</w:t>
      </w:r>
      <w:r w:rsidR="00B37872">
        <w:rPr>
          <w:szCs w:val="20"/>
          <w:lang w:val="en-US"/>
        </w:rPr>
        <w:t>.</w:t>
      </w:r>
      <w:r w:rsidR="00A608A9">
        <w:rPr>
          <w:rStyle w:val="FootnoteReference"/>
          <w:szCs w:val="20"/>
          <w:lang w:val="en-US"/>
        </w:rPr>
        <w:footnoteReference w:id="2"/>
      </w:r>
      <w:r w:rsidR="00857A40">
        <w:rPr>
          <w:szCs w:val="20"/>
          <w:lang w:val="en-US"/>
        </w:rPr>
        <w:t xml:space="preserve"> In addition, </w:t>
      </w:r>
      <w:r w:rsidR="008630FF">
        <w:rPr>
          <w:szCs w:val="20"/>
          <w:lang w:val="en-US"/>
        </w:rPr>
        <w:t>it is unfortunate to create estimation situation</w:t>
      </w:r>
      <w:r w:rsidR="0093199A">
        <w:rPr>
          <w:szCs w:val="20"/>
          <w:lang w:val="en-US"/>
        </w:rPr>
        <w:t>s</w:t>
      </w:r>
      <w:r w:rsidR="008630FF">
        <w:rPr>
          <w:szCs w:val="20"/>
          <w:lang w:val="en-US"/>
        </w:rPr>
        <w:t xml:space="preserve"> that reward underestimation</w:t>
      </w:r>
      <w:r w:rsidR="009854ED">
        <w:rPr>
          <w:szCs w:val="20"/>
          <w:lang w:val="en-US"/>
        </w:rPr>
        <w:t>.</w:t>
      </w:r>
    </w:p>
    <w:p w14:paraId="42426E71" w14:textId="66A16F7A" w:rsidR="000857FD" w:rsidRPr="00D24372" w:rsidRDefault="000857FD" w:rsidP="009B6C0F">
      <w:pPr>
        <w:pStyle w:val="Heading1"/>
        <w:ind w:firstLine="0"/>
        <w:rPr>
          <w:sz w:val="24"/>
          <w:szCs w:val="24"/>
          <w:lang w:val="en-US"/>
        </w:rPr>
      </w:pPr>
      <w:r w:rsidRPr="00D24372">
        <w:rPr>
          <w:sz w:val="24"/>
          <w:szCs w:val="24"/>
          <w:lang w:val="en-US"/>
        </w:rPr>
        <w:t>References</w:t>
      </w:r>
    </w:p>
    <w:p w14:paraId="0B6ABEA8" w14:textId="77777777" w:rsidR="007E1FD8" w:rsidRPr="007E1FD8" w:rsidRDefault="00C02455" w:rsidP="007E1FD8">
      <w:pPr>
        <w:pStyle w:val="EndNoteBibliography"/>
        <w:ind w:left="720" w:hanging="720"/>
        <w:rPr>
          <w:noProof/>
        </w:rPr>
      </w:pPr>
      <w:r w:rsidRPr="009B6C0F">
        <w:rPr>
          <w:sz w:val="20"/>
          <w:szCs w:val="20"/>
          <w:lang w:val="en-US"/>
        </w:rPr>
        <w:fldChar w:fldCharType="begin"/>
      </w:r>
      <w:r w:rsidRPr="009B6C0F">
        <w:rPr>
          <w:sz w:val="20"/>
          <w:szCs w:val="20"/>
          <w:lang w:val="en-US"/>
        </w:rPr>
        <w:instrText xml:space="preserve"> ADDIN EN.REFLIST </w:instrText>
      </w:r>
      <w:r w:rsidRPr="009B6C0F">
        <w:rPr>
          <w:sz w:val="20"/>
          <w:szCs w:val="20"/>
          <w:lang w:val="en-US"/>
        </w:rPr>
        <w:fldChar w:fldCharType="separate"/>
      </w:r>
      <w:r w:rsidR="007E1FD8" w:rsidRPr="007E1FD8">
        <w:rPr>
          <w:noProof/>
        </w:rPr>
        <w:t>1.</w:t>
      </w:r>
      <w:r w:rsidR="007E1FD8" w:rsidRPr="007E1FD8">
        <w:rPr>
          <w:noProof/>
        </w:rPr>
        <w:tab/>
        <w:t xml:space="preserve">Idri, A., M. Hosni, and A. Abran, </w:t>
      </w:r>
      <w:r w:rsidR="007E1FD8" w:rsidRPr="007E1FD8">
        <w:rPr>
          <w:i/>
          <w:noProof/>
        </w:rPr>
        <w:t>Systematic literature review of ensemble effort estimation.</w:t>
      </w:r>
      <w:r w:rsidR="007E1FD8" w:rsidRPr="007E1FD8">
        <w:rPr>
          <w:noProof/>
        </w:rPr>
        <w:t xml:space="preserve"> Journal of Systems and Software, 2016. </w:t>
      </w:r>
      <w:r w:rsidR="007E1FD8" w:rsidRPr="007E1FD8">
        <w:rPr>
          <w:b/>
          <w:noProof/>
        </w:rPr>
        <w:t>118</w:t>
      </w:r>
      <w:r w:rsidR="007E1FD8" w:rsidRPr="007E1FD8">
        <w:rPr>
          <w:noProof/>
        </w:rPr>
        <w:t>: p. 151-175.</w:t>
      </w:r>
    </w:p>
    <w:p w14:paraId="7B118D5F" w14:textId="77777777" w:rsidR="007E1FD8" w:rsidRPr="007E1FD8" w:rsidRDefault="007E1FD8" w:rsidP="007E1FD8">
      <w:pPr>
        <w:pStyle w:val="EndNoteBibliography"/>
        <w:ind w:left="720" w:hanging="720"/>
        <w:rPr>
          <w:noProof/>
        </w:rPr>
      </w:pPr>
      <w:r w:rsidRPr="007E1FD8">
        <w:rPr>
          <w:noProof/>
        </w:rPr>
        <w:t>2.</w:t>
      </w:r>
      <w:r w:rsidRPr="007E1FD8">
        <w:rPr>
          <w:noProof/>
        </w:rPr>
        <w:tab/>
        <w:t xml:space="preserve">Gneiting, T., </w:t>
      </w:r>
      <w:r w:rsidRPr="007E1FD8">
        <w:rPr>
          <w:i/>
          <w:noProof/>
        </w:rPr>
        <w:t>Making and evaluating point forecasts.</w:t>
      </w:r>
      <w:r w:rsidRPr="007E1FD8">
        <w:rPr>
          <w:noProof/>
        </w:rPr>
        <w:t xml:space="preserve"> Journal of the American Statistical Association, 2011. </w:t>
      </w:r>
      <w:r w:rsidRPr="007E1FD8">
        <w:rPr>
          <w:b/>
          <w:noProof/>
        </w:rPr>
        <w:t>106</w:t>
      </w:r>
      <w:r w:rsidRPr="007E1FD8">
        <w:rPr>
          <w:noProof/>
        </w:rPr>
        <w:t>(494): p. 746-762.</w:t>
      </w:r>
    </w:p>
    <w:p w14:paraId="44A563F5" w14:textId="77777777" w:rsidR="007E1FD8" w:rsidRPr="007E1FD8" w:rsidRDefault="007E1FD8" w:rsidP="007E1FD8">
      <w:pPr>
        <w:pStyle w:val="EndNoteBibliography"/>
        <w:ind w:left="720" w:hanging="720"/>
        <w:rPr>
          <w:noProof/>
        </w:rPr>
      </w:pPr>
      <w:r w:rsidRPr="007E1FD8">
        <w:rPr>
          <w:noProof/>
        </w:rPr>
        <w:t>3.</w:t>
      </w:r>
      <w:r w:rsidRPr="007E1FD8">
        <w:rPr>
          <w:noProof/>
        </w:rPr>
        <w:tab/>
        <w:t xml:space="preserve">Jørgensen, M. </w:t>
      </w:r>
      <w:r w:rsidRPr="007E1FD8">
        <w:rPr>
          <w:i/>
          <w:noProof/>
        </w:rPr>
        <w:t>Communication of software cost estimates</w:t>
      </w:r>
      <w:r w:rsidRPr="007E1FD8">
        <w:rPr>
          <w:noProof/>
        </w:rPr>
        <w:t xml:space="preserve">. in </w:t>
      </w:r>
      <w:r w:rsidRPr="007E1FD8">
        <w:rPr>
          <w:i/>
          <w:noProof/>
        </w:rPr>
        <w:t>Proceedings of the 18th International Conference on Evaluation and Assessment in Software Engineering</w:t>
      </w:r>
      <w:r w:rsidRPr="007E1FD8">
        <w:rPr>
          <w:noProof/>
        </w:rPr>
        <w:t>. 2014.</w:t>
      </w:r>
    </w:p>
    <w:p w14:paraId="114DD767" w14:textId="77777777" w:rsidR="007E1FD8" w:rsidRPr="007E1FD8" w:rsidRDefault="007E1FD8" w:rsidP="007E1FD8">
      <w:pPr>
        <w:pStyle w:val="EndNoteBibliography"/>
        <w:ind w:left="720" w:hanging="720"/>
        <w:rPr>
          <w:noProof/>
        </w:rPr>
      </w:pPr>
      <w:r w:rsidRPr="007E1FD8">
        <w:rPr>
          <w:noProof/>
        </w:rPr>
        <w:t>4.</w:t>
      </w:r>
      <w:r w:rsidRPr="007E1FD8">
        <w:rPr>
          <w:noProof/>
        </w:rPr>
        <w:tab/>
        <w:t xml:space="preserve">Samset, K.F., et al., </w:t>
      </w:r>
      <w:r w:rsidRPr="007E1FD8">
        <w:rPr>
          <w:i/>
          <w:noProof/>
        </w:rPr>
        <w:t>Governance schemes for major public investment projects: A comparative study of principles and practices in six countries</w:t>
      </w:r>
      <w:r w:rsidRPr="007E1FD8">
        <w:rPr>
          <w:noProof/>
        </w:rPr>
        <w:t>. 2016, Ex ante akademisk forlag.</w:t>
      </w:r>
    </w:p>
    <w:p w14:paraId="5D817B64" w14:textId="77777777" w:rsidR="007E1FD8" w:rsidRPr="007E1FD8" w:rsidRDefault="007E1FD8" w:rsidP="007E1FD8">
      <w:pPr>
        <w:pStyle w:val="EndNoteBibliography"/>
        <w:ind w:left="720" w:hanging="720"/>
        <w:rPr>
          <w:noProof/>
        </w:rPr>
      </w:pPr>
      <w:r w:rsidRPr="007E1FD8">
        <w:rPr>
          <w:noProof/>
        </w:rPr>
        <w:lastRenderedPageBreak/>
        <w:t>5.</w:t>
      </w:r>
      <w:r w:rsidRPr="007E1FD8">
        <w:rPr>
          <w:noProof/>
        </w:rPr>
        <w:tab/>
        <w:t xml:space="preserve">Golenko-Ginzburg, D., </w:t>
      </w:r>
      <w:r w:rsidRPr="007E1FD8">
        <w:rPr>
          <w:i/>
          <w:noProof/>
        </w:rPr>
        <w:t>On the distribution of activity time in PERT.</w:t>
      </w:r>
      <w:r w:rsidRPr="007E1FD8">
        <w:rPr>
          <w:noProof/>
        </w:rPr>
        <w:t xml:space="preserve"> Journal of the Operational Research Society, 1988. </w:t>
      </w:r>
      <w:r w:rsidRPr="007E1FD8">
        <w:rPr>
          <w:b/>
          <w:noProof/>
        </w:rPr>
        <w:t>39</w:t>
      </w:r>
      <w:r w:rsidRPr="007E1FD8">
        <w:rPr>
          <w:noProof/>
        </w:rPr>
        <w:t>(8): p. 767-771.</w:t>
      </w:r>
    </w:p>
    <w:p w14:paraId="5F7A9CA0" w14:textId="77777777" w:rsidR="007E1FD8" w:rsidRPr="007E1FD8" w:rsidRDefault="007E1FD8" w:rsidP="007E1FD8">
      <w:pPr>
        <w:pStyle w:val="EndNoteBibliography"/>
        <w:ind w:left="720" w:hanging="720"/>
        <w:rPr>
          <w:noProof/>
        </w:rPr>
      </w:pPr>
      <w:r w:rsidRPr="007E1FD8">
        <w:rPr>
          <w:noProof/>
        </w:rPr>
        <w:t>6.</w:t>
      </w:r>
      <w:r w:rsidRPr="007E1FD8">
        <w:rPr>
          <w:noProof/>
        </w:rPr>
        <w:tab/>
        <w:t xml:space="preserve">Halkjelsvik, T. and M. Jørgensen, </w:t>
      </w:r>
      <w:r w:rsidRPr="007E1FD8">
        <w:rPr>
          <w:i/>
          <w:noProof/>
        </w:rPr>
        <w:t>Time Predictions: Understanding and Avoiding Unrealism in Project Planning and Everyday Life</w:t>
      </w:r>
      <w:r w:rsidRPr="007E1FD8">
        <w:rPr>
          <w:noProof/>
        </w:rPr>
        <w:t>. Vol. 5. 2018: Springer.</w:t>
      </w:r>
    </w:p>
    <w:p w14:paraId="56464867" w14:textId="77777777" w:rsidR="007E1FD8" w:rsidRPr="007E1FD8" w:rsidRDefault="007E1FD8" w:rsidP="007E1FD8">
      <w:pPr>
        <w:pStyle w:val="EndNoteBibliography"/>
        <w:ind w:left="720" w:hanging="720"/>
        <w:rPr>
          <w:noProof/>
        </w:rPr>
      </w:pPr>
      <w:r w:rsidRPr="007E1FD8">
        <w:rPr>
          <w:noProof/>
        </w:rPr>
        <w:t>7.</w:t>
      </w:r>
      <w:r w:rsidRPr="007E1FD8">
        <w:rPr>
          <w:noProof/>
        </w:rPr>
        <w:tab/>
        <w:t xml:space="preserve">Foss, T., et al., </w:t>
      </w:r>
      <w:r w:rsidRPr="007E1FD8">
        <w:rPr>
          <w:i/>
          <w:noProof/>
        </w:rPr>
        <w:t>A simulation study of the model evaluation criterion MMRE.</w:t>
      </w:r>
      <w:r w:rsidRPr="007E1FD8">
        <w:rPr>
          <w:noProof/>
        </w:rPr>
        <w:t xml:space="preserve"> IEEE transactions on software engineering, 2003. </w:t>
      </w:r>
      <w:r w:rsidRPr="007E1FD8">
        <w:rPr>
          <w:b/>
          <w:noProof/>
        </w:rPr>
        <w:t>29</w:t>
      </w:r>
      <w:r w:rsidRPr="007E1FD8">
        <w:rPr>
          <w:noProof/>
        </w:rPr>
        <w:t>(11): p. 985-995.</w:t>
      </w:r>
    </w:p>
    <w:p w14:paraId="0294BF9B" w14:textId="77777777" w:rsidR="007E1FD8" w:rsidRPr="007E1FD8" w:rsidRDefault="007E1FD8" w:rsidP="007E1FD8">
      <w:pPr>
        <w:pStyle w:val="EndNoteBibliography"/>
        <w:ind w:left="720" w:hanging="720"/>
        <w:rPr>
          <w:noProof/>
        </w:rPr>
      </w:pPr>
      <w:r w:rsidRPr="007E1FD8">
        <w:rPr>
          <w:noProof/>
        </w:rPr>
        <w:t>8.</w:t>
      </w:r>
      <w:r w:rsidRPr="007E1FD8">
        <w:rPr>
          <w:noProof/>
        </w:rPr>
        <w:tab/>
        <w:t xml:space="preserve">Jørgensen, M. and T.M. Gruschke, </w:t>
      </w:r>
      <w:r w:rsidRPr="007E1FD8">
        <w:rPr>
          <w:i/>
          <w:noProof/>
        </w:rPr>
        <w:t>The impact of lessons-learned sessions on effort estimation and uncertainty assessments.</w:t>
      </w:r>
      <w:r w:rsidRPr="007E1FD8">
        <w:rPr>
          <w:noProof/>
        </w:rPr>
        <w:t xml:space="preserve"> IEEE Transactions on Software Engineering, 2009. </w:t>
      </w:r>
      <w:r w:rsidRPr="007E1FD8">
        <w:rPr>
          <w:b/>
          <w:noProof/>
        </w:rPr>
        <w:t>35</w:t>
      </w:r>
      <w:r w:rsidRPr="007E1FD8">
        <w:rPr>
          <w:noProof/>
        </w:rPr>
        <w:t>(3): p. 368-383.</w:t>
      </w:r>
    </w:p>
    <w:p w14:paraId="5026DA80" w14:textId="61548590" w:rsidR="003A1FA2" w:rsidRPr="006A3DE8" w:rsidRDefault="00C02455" w:rsidP="00972F3E">
      <w:pPr>
        <w:rPr>
          <w:szCs w:val="20"/>
          <w:lang w:val="en-US"/>
        </w:rPr>
      </w:pPr>
      <w:r w:rsidRPr="009B6C0F">
        <w:rPr>
          <w:szCs w:val="20"/>
          <w:lang w:val="en-US"/>
        </w:rPr>
        <w:fldChar w:fldCharType="end"/>
      </w:r>
    </w:p>
    <w:sectPr w:rsidR="003A1FA2" w:rsidRPr="006A3DE8" w:rsidSect="00C8628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6785" w14:textId="77777777" w:rsidR="00193E8F" w:rsidRDefault="00193E8F" w:rsidP="008952E5">
      <w:r>
        <w:separator/>
      </w:r>
    </w:p>
  </w:endnote>
  <w:endnote w:type="continuationSeparator" w:id="0">
    <w:p w14:paraId="2FF6EC6A" w14:textId="77777777" w:rsidR="00193E8F" w:rsidRDefault="00193E8F" w:rsidP="0089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535E" w14:textId="77777777" w:rsidR="00193E8F" w:rsidRDefault="00193E8F" w:rsidP="008952E5">
      <w:r>
        <w:separator/>
      </w:r>
    </w:p>
  </w:footnote>
  <w:footnote w:type="continuationSeparator" w:id="0">
    <w:p w14:paraId="353FED5F" w14:textId="77777777" w:rsidR="00193E8F" w:rsidRDefault="00193E8F" w:rsidP="008952E5">
      <w:r>
        <w:continuationSeparator/>
      </w:r>
    </w:p>
  </w:footnote>
  <w:footnote w:id="1">
    <w:p w14:paraId="2F32884C" w14:textId="1698EE89" w:rsidR="00FE127A" w:rsidRPr="00FE127A" w:rsidRDefault="00FE127A" w:rsidP="00FE127A">
      <w:pPr>
        <w:pStyle w:val="FootnoteText"/>
        <w:ind w:firstLine="0"/>
        <w:rPr>
          <w:sz w:val="16"/>
          <w:szCs w:val="16"/>
          <w:lang w:val="en-US"/>
        </w:rPr>
      </w:pPr>
      <w:r w:rsidRPr="00FE127A">
        <w:rPr>
          <w:rStyle w:val="FootnoteReference"/>
          <w:sz w:val="16"/>
          <w:szCs w:val="16"/>
        </w:rPr>
        <w:footnoteRef/>
      </w:r>
      <w:r w:rsidRPr="00FE127A">
        <w:rPr>
          <w:sz w:val="16"/>
          <w:szCs w:val="16"/>
        </w:rPr>
        <w:t xml:space="preserve"> </w:t>
      </w:r>
      <w:r>
        <w:rPr>
          <w:sz w:val="16"/>
          <w:szCs w:val="16"/>
          <w:lang w:val="en-US"/>
        </w:rPr>
        <w:t xml:space="preserve">The robustness of </w:t>
      </w:r>
      <w:r w:rsidR="00E7493D">
        <w:rPr>
          <w:sz w:val="16"/>
          <w:szCs w:val="16"/>
          <w:lang w:val="en-US"/>
        </w:rPr>
        <w:t>our</w:t>
      </w:r>
      <w:r>
        <w:rPr>
          <w:sz w:val="16"/>
          <w:szCs w:val="16"/>
          <w:lang w:val="en-US"/>
        </w:rPr>
        <w:t xml:space="preserve"> finding was evaluated by simulating a variety of right-skewed distributions of the types: beta, gamma and triangular. </w:t>
      </w:r>
      <w:r w:rsidR="003563AC">
        <w:rPr>
          <w:sz w:val="16"/>
          <w:szCs w:val="16"/>
          <w:lang w:val="en-US"/>
        </w:rPr>
        <w:t>For these distributions,</w:t>
      </w:r>
      <w:r>
        <w:rPr>
          <w:sz w:val="16"/>
          <w:szCs w:val="16"/>
          <w:lang w:val="en-US"/>
        </w:rPr>
        <w:t xml:space="preserve"> even the mode values </w:t>
      </w:r>
      <w:r w:rsidR="003563AC">
        <w:rPr>
          <w:sz w:val="16"/>
          <w:szCs w:val="16"/>
          <w:lang w:val="en-US"/>
        </w:rPr>
        <w:t>tended to be</w:t>
      </w:r>
      <w:r>
        <w:rPr>
          <w:sz w:val="16"/>
          <w:szCs w:val="16"/>
          <w:lang w:val="en-US"/>
        </w:rPr>
        <w:t xml:space="preserve"> too high to minimize the MMRE. Even in these cases, however, the MMRE was lower for the mode than for the median or the mean. The implication that MMRE should mainly be used as a measure of mode-accuracy is consequently to some extent supported, even for </w:t>
      </w:r>
      <w:r w:rsidR="00544537">
        <w:rPr>
          <w:sz w:val="16"/>
          <w:szCs w:val="16"/>
          <w:lang w:val="en-US"/>
        </w:rPr>
        <w:t>non-lognormal,</w:t>
      </w:r>
      <w:r>
        <w:rPr>
          <w:sz w:val="16"/>
          <w:szCs w:val="16"/>
          <w:lang w:val="en-US"/>
        </w:rPr>
        <w:t xml:space="preserve"> right-skewed distributions.</w:t>
      </w:r>
    </w:p>
  </w:footnote>
  <w:footnote w:id="2">
    <w:p w14:paraId="0C8D1316" w14:textId="018A4ECD" w:rsidR="00A608A9" w:rsidRPr="00A608A9" w:rsidRDefault="00A608A9" w:rsidP="00A608A9">
      <w:pPr>
        <w:pStyle w:val="FootnoteText"/>
        <w:ind w:firstLine="0"/>
        <w:rPr>
          <w:sz w:val="16"/>
          <w:szCs w:val="16"/>
          <w:lang w:val="en-US"/>
        </w:rPr>
      </w:pPr>
      <w:r w:rsidRPr="00A608A9">
        <w:rPr>
          <w:rStyle w:val="FootnoteReference"/>
          <w:sz w:val="16"/>
          <w:szCs w:val="16"/>
        </w:rPr>
        <w:footnoteRef/>
      </w:r>
      <w:r w:rsidRPr="00A608A9">
        <w:rPr>
          <w:sz w:val="16"/>
          <w:szCs w:val="16"/>
          <w:lang w:val="en-US"/>
        </w:rPr>
        <w:t xml:space="preserve"> </w:t>
      </w:r>
      <w:r w:rsidRPr="00A608A9">
        <w:rPr>
          <w:sz w:val="16"/>
          <w:szCs w:val="16"/>
        </w:rPr>
        <w:t xml:space="preserve"> </w:t>
      </w:r>
      <w:r w:rsidRPr="00A608A9">
        <w:rPr>
          <w:sz w:val="16"/>
          <w:szCs w:val="16"/>
          <w:lang w:val="en-US"/>
        </w:rPr>
        <w:t>A</w:t>
      </w:r>
      <w:r>
        <w:rPr>
          <w:sz w:val="16"/>
          <w:szCs w:val="16"/>
          <w:lang w:val="en-US"/>
        </w:rPr>
        <w:t>s a</w:t>
      </w:r>
      <w:r w:rsidR="00E57A01">
        <w:rPr>
          <w:sz w:val="16"/>
          <w:szCs w:val="16"/>
          <w:lang w:val="en-US"/>
        </w:rPr>
        <w:t xml:space="preserve">n </w:t>
      </w:r>
      <w:r>
        <w:rPr>
          <w:sz w:val="16"/>
          <w:szCs w:val="16"/>
          <w:lang w:val="en-US"/>
        </w:rPr>
        <w:t>illustration of a situation where the MMRE may differ more, we</w:t>
      </w:r>
      <w:r w:rsidRPr="00A608A9">
        <w:rPr>
          <w:sz w:val="16"/>
          <w:szCs w:val="16"/>
          <w:lang w:val="en-US"/>
        </w:rPr>
        <w:t xml:space="preserve"> </w:t>
      </w:r>
      <w:r>
        <w:rPr>
          <w:sz w:val="16"/>
          <w:szCs w:val="16"/>
          <w:lang w:val="en-US"/>
        </w:rPr>
        <w:t>applied the Cocomo</w:t>
      </w:r>
      <w:r w:rsidR="00B37872">
        <w:rPr>
          <w:sz w:val="16"/>
          <w:szCs w:val="16"/>
          <w:lang w:val="en-US"/>
        </w:rPr>
        <w:t>81</w:t>
      </w:r>
      <w:r>
        <w:rPr>
          <w:sz w:val="16"/>
          <w:szCs w:val="16"/>
          <w:lang w:val="en-US"/>
        </w:rPr>
        <w:t>-dataset</w:t>
      </w:r>
      <w:r w:rsidR="00E57A01">
        <w:rPr>
          <w:sz w:val="16"/>
          <w:szCs w:val="16"/>
          <w:lang w:val="en-US"/>
        </w:rPr>
        <w:t xml:space="preserve"> </w:t>
      </w:r>
      <w:r>
        <w:rPr>
          <w:sz w:val="16"/>
          <w:szCs w:val="16"/>
          <w:lang w:val="en-US"/>
        </w:rPr>
        <w:t xml:space="preserve">and built an OLS-based linear regression model (which aims at estimating the mean effort). The MMRE of the </w:t>
      </w:r>
      <w:r w:rsidR="00694392">
        <w:rPr>
          <w:sz w:val="16"/>
          <w:szCs w:val="16"/>
          <w:lang w:val="en-US"/>
        </w:rPr>
        <w:t xml:space="preserve">effort </w:t>
      </w:r>
      <w:r>
        <w:rPr>
          <w:sz w:val="16"/>
          <w:szCs w:val="16"/>
          <w:lang w:val="en-US"/>
        </w:rPr>
        <w:t xml:space="preserve">estimates of this model was compared with estimates of the mode, assuming that the mode was the same as the proportion of the mean </w:t>
      </w:r>
      <w:r w:rsidR="00694392">
        <w:rPr>
          <w:sz w:val="16"/>
          <w:szCs w:val="16"/>
          <w:lang w:val="en-US"/>
        </w:rPr>
        <w:t xml:space="preserve">effort </w:t>
      </w:r>
      <w:r>
        <w:rPr>
          <w:sz w:val="16"/>
          <w:szCs w:val="16"/>
          <w:lang w:val="en-US"/>
        </w:rPr>
        <w:t>as in Table 1</w:t>
      </w:r>
      <w:r w:rsidR="00694392">
        <w:rPr>
          <w:sz w:val="16"/>
          <w:szCs w:val="16"/>
          <w:lang w:val="en-US"/>
        </w:rPr>
        <w:t xml:space="preserve">, i.e., </w:t>
      </w:r>
      <w:r>
        <w:rPr>
          <w:sz w:val="16"/>
          <w:szCs w:val="16"/>
          <w:lang w:val="en-US"/>
        </w:rPr>
        <w:t xml:space="preserve">66%. The use of the estimates of the mode gave in this case a reduction of the MMRE </w:t>
      </w:r>
      <w:r w:rsidR="00AC2E89">
        <w:rPr>
          <w:sz w:val="16"/>
          <w:szCs w:val="16"/>
          <w:lang w:val="en-US"/>
        </w:rPr>
        <w:t xml:space="preserve">as high as </w:t>
      </w:r>
      <w:r>
        <w:rPr>
          <w:sz w:val="16"/>
          <w:szCs w:val="16"/>
          <w:lang w:val="en-US"/>
        </w:rPr>
        <w:t>3</w:t>
      </w:r>
      <w:r w:rsidR="006806FA">
        <w:rPr>
          <w:sz w:val="16"/>
          <w:szCs w:val="16"/>
          <w:lang w:val="en-US"/>
        </w:rPr>
        <w:t>3</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3823"/>
    <w:multiLevelType w:val="hybridMultilevel"/>
    <w:tmpl w:val="F730943E"/>
    <w:lvl w:ilvl="0" w:tplc="B7B065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44DE9"/>
    <w:multiLevelType w:val="hybridMultilevel"/>
    <w:tmpl w:val="66927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C13542"/>
    <w:multiLevelType w:val="hybridMultilevel"/>
    <w:tmpl w:val="1C0A18CA"/>
    <w:lvl w:ilvl="0" w:tplc="CC705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523E9"/>
    <w:multiLevelType w:val="hybridMultilevel"/>
    <w:tmpl w:val="F34E96FE"/>
    <w:lvl w:ilvl="0" w:tplc="316EC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100BB"/>
    <w:multiLevelType w:val="hybridMultilevel"/>
    <w:tmpl w:val="54D6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92C28"/>
    <w:multiLevelType w:val="hybridMultilevel"/>
    <w:tmpl w:val="562A0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8E5CEA"/>
    <w:multiLevelType w:val="hybridMultilevel"/>
    <w:tmpl w:val="A7DE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633492"/>
    <w:multiLevelType w:val="hybridMultilevel"/>
    <w:tmpl w:val="A7108246"/>
    <w:lvl w:ilvl="0" w:tplc="7FC669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83EC5"/>
    <w:multiLevelType w:val="hybridMultilevel"/>
    <w:tmpl w:val="D996C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F3B96"/>
    <w:multiLevelType w:val="hybridMultilevel"/>
    <w:tmpl w:val="38C676F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DDE3406"/>
    <w:multiLevelType w:val="hybridMultilevel"/>
    <w:tmpl w:val="4B7674A8"/>
    <w:lvl w:ilvl="0" w:tplc="667E54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9810A9"/>
    <w:multiLevelType w:val="hybridMultilevel"/>
    <w:tmpl w:val="375AE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C7108"/>
    <w:multiLevelType w:val="hybridMultilevel"/>
    <w:tmpl w:val="0638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E33D60"/>
    <w:multiLevelType w:val="hybridMultilevel"/>
    <w:tmpl w:val="E4C270EA"/>
    <w:lvl w:ilvl="0" w:tplc="AB58F3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257548"/>
    <w:multiLevelType w:val="hybridMultilevel"/>
    <w:tmpl w:val="B5F0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5"/>
  </w:num>
  <w:num w:numId="5">
    <w:abstractNumId w:val="4"/>
  </w:num>
  <w:num w:numId="6">
    <w:abstractNumId w:val="11"/>
  </w:num>
  <w:num w:numId="7">
    <w:abstractNumId w:val="0"/>
  </w:num>
  <w:num w:numId="8">
    <w:abstractNumId w:val="10"/>
  </w:num>
  <w:num w:numId="9">
    <w:abstractNumId w:val="7"/>
  </w:num>
  <w:num w:numId="10">
    <w:abstractNumId w:val="6"/>
  </w:num>
  <w:num w:numId="11">
    <w:abstractNumId w:val="2"/>
  </w:num>
  <w:num w:numId="12">
    <w:abstractNumId w:val="1"/>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ddpazvrv5vx1e095w520dt02p2fv20sdaz&quot;&gt;MMRE-articles&lt;record-ids&gt;&lt;item&gt;4&lt;/item&gt;&lt;item&gt;7&lt;/item&gt;&lt;item&gt;18&lt;/item&gt;&lt;item&gt;23&lt;/item&gt;&lt;item&gt;25&lt;/item&gt;&lt;item&gt;46&lt;/item&gt;&lt;item&gt;47&lt;/item&gt;&lt;item&gt;48&lt;/item&gt;&lt;/record-ids&gt;&lt;/item&gt;&lt;/Libraries&gt;"/>
  </w:docVars>
  <w:rsids>
    <w:rsidRoot w:val="00B6338F"/>
    <w:rsid w:val="0000041F"/>
    <w:rsid w:val="00001E71"/>
    <w:rsid w:val="00001F19"/>
    <w:rsid w:val="00002CB9"/>
    <w:rsid w:val="00003B21"/>
    <w:rsid w:val="0000545A"/>
    <w:rsid w:val="000071D8"/>
    <w:rsid w:val="00010385"/>
    <w:rsid w:val="00011126"/>
    <w:rsid w:val="000118D3"/>
    <w:rsid w:val="00011A8D"/>
    <w:rsid w:val="00012B28"/>
    <w:rsid w:val="00013B42"/>
    <w:rsid w:val="0001470F"/>
    <w:rsid w:val="0001552D"/>
    <w:rsid w:val="00020C00"/>
    <w:rsid w:val="00022201"/>
    <w:rsid w:val="00022277"/>
    <w:rsid w:val="0002505F"/>
    <w:rsid w:val="00031975"/>
    <w:rsid w:val="00035C2D"/>
    <w:rsid w:val="00036487"/>
    <w:rsid w:val="00037E26"/>
    <w:rsid w:val="00040813"/>
    <w:rsid w:val="00041A88"/>
    <w:rsid w:val="00041E98"/>
    <w:rsid w:val="000424B8"/>
    <w:rsid w:val="000434BC"/>
    <w:rsid w:val="00046991"/>
    <w:rsid w:val="000476FC"/>
    <w:rsid w:val="000507FF"/>
    <w:rsid w:val="00053C02"/>
    <w:rsid w:val="00054845"/>
    <w:rsid w:val="00054B99"/>
    <w:rsid w:val="00054E0F"/>
    <w:rsid w:val="00055D37"/>
    <w:rsid w:val="00055DD3"/>
    <w:rsid w:val="00061BC2"/>
    <w:rsid w:val="00061E83"/>
    <w:rsid w:val="00061F44"/>
    <w:rsid w:val="00062455"/>
    <w:rsid w:val="0006299B"/>
    <w:rsid w:val="00062DAA"/>
    <w:rsid w:val="00063935"/>
    <w:rsid w:val="00065315"/>
    <w:rsid w:val="00066EE6"/>
    <w:rsid w:val="00071D31"/>
    <w:rsid w:val="0007236A"/>
    <w:rsid w:val="000725A0"/>
    <w:rsid w:val="000759CD"/>
    <w:rsid w:val="00075D41"/>
    <w:rsid w:val="00076133"/>
    <w:rsid w:val="00076E3C"/>
    <w:rsid w:val="000810D6"/>
    <w:rsid w:val="00082A5E"/>
    <w:rsid w:val="00083E5B"/>
    <w:rsid w:val="00084543"/>
    <w:rsid w:val="000845BB"/>
    <w:rsid w:val="000857FD"/>
    <w:rsid w:val="0008632B"/>
    <w:rsid w:val="0009295C"/>
    <w:rsid w:val="00092FB3"/>
    <w:rsid w:val="00096231"/>
    <w:rsid w:val="00096C13"/>
    <w:rsid w:val="000A29B0"/>
    <w:rsid w:val="000A350E"/>
    <w:rsid w:val="000A3754"/>
    <w:rsid w:val="000A3E61"/>
    <w:rsid w:val="000A585C"/>
    <w:rsid w:val="000A5916"/>
    <w:rsid w:val="000B152D"/>
    <w:rsid w:val="000B2DE1"/>
    <w:rsid w:val="000B427F"/>
    <w:rsid w:val="000B4AAE"/>
    <w:rsid w:val="000C00F2"/>
    <w:rsid w:val="000C0F0A"/>
    <w:rsid w:val="000C26A3"/>
    <w:rsid w:val="000C32BA"/>
    <w:rsid w:val="000C4F81"/>
    <w:rsid w:val="000C523D"/>
    <w:rsid w:val="000C55C9"/>
    <w:rsid w:val="000D0D9C"/>
    <w:rsid w:val="000D0F33"/>
    <w:rsid w:val="000D3C43"/>
    <w:rsid w:val="000D611B"/>
    <w:rsid w:val="000D6B18"/>
    <w:rsid w:val="000E34E8"/>
    <w:rsid w:val="000E3ECB"/>
    <w:rsid w:val="000E74AF"/>
    <w:rsid w:val="000E7FAF"/>
    <w:rsid w:val="000F035C"/>
    <w:rsid w:val="000F07A4"/>
    <w:rsid w:val="000F0AAF"/>
    <w:rsid w:val="000F2651"/>
    <w:rsid w:val="000F4283"/>
    <w:rsid w:val="000F5C1D"/>
    <w:rsid w:val="000F6350"/>
    <w:rsid w:val="000F6FD6"/>
    <w:rsid w:val="00101ACE"/>
    <w:rsid w:val="00101BAA"/>
    <w:rsid w:val="00102D61"/>
    <w:rsid w:val="001030AD"/>
    <w:rsid w:val="00103B1D"/>
    <w:rsid w:val="001041AD"/>
    <w:rsid w:val="00105053"/>
    <w:rsid w:val="00105CA9"/>
    <w:rsid w:val="001111A1"/>
    <w:rsid w:val="0011198D"/>
    <w:rsid w:val="00111CC9"/>
    <w:rsid w:val="0011265A"/>
    <w:rsid w:val="00115AA6"/>
    <w:rsid w:val="00116D62"/>
    <w:rsid w:val="001172FD"/>
    <w:rsid w:val="00117C5C"/>
    <w:rsid w:val="0012126B"/>
    <w:rsid w:val="001251F8"/>
    <w:rsid w:val="00125F88"/>
    <w:rsid w:val="00131F59"/>
    <w:rsid w:val="00134F30"/>
    <w:rsid w:val="001364A4"/>
    <w:rsid w:val="0013664B"/>
    <w:rsid w:val="00137440"/>
    <w:rsid w:val="00137D96"/>
    <w:rsid w:val="001412BA"/>
    <w:rsid w:val="0014265A"/>
    <w:rsid w:val="00142BFE"/>
    <w:rsid w:val="00143A85"/>
    <w:rsid w:val="001453A9"/>
    <w:rsid w:val="0014645F"/>
    <w:rsid w:val="00146C32"/>
    <w:rsid w:val="00146E43"/>
    <w:rsid w:val="00147121"/>
    <w:rsid w:val="00147791"/>
    <w:rsid w:val="00147A3C"/>
    <w:rsid w:val="001502C6"/>
    <w:rsid w:val="00151111"/>
    <w:rsid w:val="0015148A"/>
    <w:rsid w:val="0015168E"/>
    <w:rsid w:val="001526EA"/>
    <w:rsid w:val="00152B1B"/>
    <w:rsid w:val="00154126"/>
    <w:rsid w:val="00154684"/>
    <w:rsid w:val="0015583C"/>
    <w:rsid w:val="00155F52"/>
    <w:rsid w:val="00157F01"/>
    <w:rsid w:val="001603C2"/>
    <w:rsid w:val="0016045A"/>
    <w:rsid w:val="001607EE"/>
    <w:rsid w:val="00160C35"/>
    <w:rsid w:val="00162F7C"/>
    <w:rsid w:val="00163F78"/>
    <w:rsid w:val="00164886"/>
    <w:rsid w:val="00165EA6"/>
    <w:rsid w:val="00165F34"/>
    <w:rsid w:val="00167DFD"/>
    <w:rsid w:val="00170F7B"/>
    <w:rsid w:val="00171423"/>
    <w:rsid w:val="0017247C"/>
    <w:rsid w:val="001731EE"/>
    <w:rsid w:val="0017386A"/>
    <w:rsid w:val="0017451D"/>
    <w:rsid w:val="00175036"/>
    <w:rsid w:val="001754C1"/>
    <w:rsid w:val="001806AA"/>
    <w:rsid w:val="00181652"/>
    <w:rsid w:val="0018296C"/>
    <w:rsid w:val="00183841"/>
    <w:rsid w:val="0018399B"/>
    <w:rsid w:val="00183E26"/>
    <w:rsid w:val="001846D4"/>
    <w:rsid w:val="001847BE"/>
    <w:rsid w:val="0018656C"/>
    <w:rsid w:val="001869F0"/>
    <w:rsid w:val="00190A41"/>
    <w:rsid w:val="001917B4"/>
    <w:rsid w:val="00192642"/>
    <w:rsid w:val="00192992"/>
    <w:rsid w:val="00193E8F"/>
    <w:rsid w:val="00193F9E"/>
    <w:rsid w:val="001957EC"/>
    <w:rsid w:val="001979DC"/>
    <w:rsid w:val="001A220A"/>
    <w:rsid w:val="001A2670"/>
    <w:rsid w:val="001A2A31"/>
    <w:rsid w:val="001A418C"/>
    <w:rsid w:val="001A5FA6"/>
    <w:rsid w:val="001A7971"/>
    <w:rsid w:val="001B34D5"/>
    <w:rsid w:val="001B4BAF"/>
    <w:rsid w:val="001B5250"/>
    <w:rsid w:val="001C029E"/>
    <w:rsid w:val="001C2029"/>
    <w:rsid w:val="001C2E4F"/>
    <w:rsid w:val="001C4189"/>
    <w:rsid w:val="001C439C"/>
    <w:rsid w:val="001C49C5"/>
    <w:rsid w:val="001C5F9D"/>
    <w:rsid w:val="001C6EFE"/>
    <w:rsid w:val="001D00B8"/>
    <w:rsid w:val="001D17AE"/>
    <w:rsid w:val="001D2153"/>
    <w:rsid w:val="001D4664"/>
    <w:rsid w:val="001D62F6"/>
    <w:rsid w:val="001D7E1B"/>
    <w:rsid w:val="001E1395"/>
    <w:rsid w:val="001E153C"/>
    <w:rsid w:val="001E22C2"/>
    <w:rsid w:val="001E3E50"/>
    <w:rsid w:val="001F0487"/>
    <w:rsid w:val="001F284D"/>
    <w:rsid w:val="001F3485"/>
    <w:rsid w:val="001F6648"/>
    <w:rsid w:val="001F6F3C"/>
    <w:rsid w:val="002002EE"/>
    <w:rsid w:val="00200339"/>
    <w:rsid w:val="002017B6"/>
    <w:rsid w:val="002021F6"/>
    <w:rsid w:val="00202849"/>
    <w:rsid w:val="0020383F"/>
    <w:rsid w:val="00204E11"/>
    <w:rsid w:val="0020546E"/>
    <w:rsid w:val="00206628"/>
    <w:rsid w:val="00207165"/>
    <w:rsid w:val="0021415A"/>
    <w:rsid w:val="00215970"/>
    <w:rsid w:val="00216CE2"/>
    <w:rsid w:val="00217E6E"/>
    <w:rsid w:val="00220498"/>
    <w:rsid w:val="00220601"/>
    <w:rsid w:val="00222E8C"/>
    <w:rsid w:val="00222EB4"/>
    <w:rsid w:val="002243AA"/>
    <w:rsid w:val="00227116"/>
    <w:rsid w:val="00232603"/>
    <w:rsid w:val="002368F9"/>
    <w:rsid w:val="00237665"/>
    <w:rsid w:val="00240F5A"/>
    <w:rsid w:val="00242AEC"/>
    <w:rsid w:val="00244418"/>
    <w:rsid w:val="00247224"/>
    <w:rsid w:val="002476FF"/>
    <w:rsid w:val="00247C5F"/>
    <w:rsid w:val="00247E3F"/>
    <w:rsid w:val="00250581"/>
    <w:rsid w:val="00253A6E"/>
    <w:rsid w:val="00253C41"/>
    <w:rsid w:val="00254339"/>
    <w:rsid w:val="00254AE3"/>
    <w:rsid w:val="00254CBE"/>
    <w:rsid w:val="00255089"/>
    <w:rsid w:val="00255955"/>
    <w:rsid w:val="002567FE"/>
    <w:rsid w:val="00256E09"/>
    <w:rsid w:val="002604BE"/>
    <w:rsid w:val="002609F4"/>
    <w:rsid w:val="00261043"/>
    <w:rsid w:val="00262C96"/>
    <w:rsid w:val="0026443F"/>
    <w:rsid w:val="00264EF2"/>
    <w:rsid w:val="00265EE3"/>
    <w:rsid w:val="0026603E"/>
    <w:rsid w:val="00266CF2"/>
    <w:rsid w:val="00270206"/>
    <w:rsid w:val="0027317D"/>
    <w:rsid w:val="0027399B"/>
    <w:rsid w:val="00273B75"/>
    <w:rsid w:val="00275255"/>
    <w:rsid w:val="0027553B"/>
    <w:rsid w:val="00277ADE"/>
    <w:rsid w:val="00277CBB"/>
    <w:rsid w:val="00280120"/>
    <w:rsid w:val="002808B2"/>
    <w:rsid w:val="002808CB"/>
    <w:rsid w:val="00280F97"/>
    <w:rsid w:val="0028293D"/>
    <w:rsid w:val="00283061"/>
    <w:rsid w:val="0028438A"/>
    <w:rsid w:val="002843EA"/>
    <w:rsid w:val="00286534"/>
    <w:rsid w:val="00286A2C"/>
    <w:rsid w:val="00286E54"/>
    <w:rsid w:val="00290F86"/>
    <w:rsid w:val="00291503"/>
    <w:rsid w:val="002977FA"/>
    <w:rsid w:val="00297D75"/>
    <w:rsid w:val="00297FD5"/>
    <w:rsid w:val="002A0E69"/>
    <w:rsid w:val="002A16F5"/>
    <w:rsid w:val="002A38AC"/>
    <w:rsid w:val="002A4FE5"/>
    <w:rsid w:val="002A70EB"/>
    <w:rsid w:val="002A7801"/>
    <w:rsid w:val="002A7EE5"/>
    <w:rsid w:val="002B48C4"/>
    <w:rsid w:val="002B4A6A"/>
    <w:rsid w:val="002B66F8"/>
    <w:rsid w:val="002B7AE5"/>
    <w:rsid w:val="002C10B0"/>
    <w:rsid w:val="002C10E8"/>
    <w:rsid w:val="002C4D8F"/>
    <w:rsid w:val="002C5897"/>
    <w:rsid w:val="002C7861"/>
    <w:rsid w:val="002D44F1"/>
    <w:rsid w:val="002D4FDE"/>
    <w:rsid w:val="002D54B9"/>
    <w:rsid w:val="002D78FC"/>
    <w:rsid w:val="002E12A5"/>
    <w:rsid w:val="002E4476"/>
    <w:rsid w:val="002F01EB"/>
    <w:rsid w:val="002F232A"/>
    <w:rsid w:val="002F35A9"/>
    <w:rsid w:val="002F35C8"/>
    <w:rsid w:val="002F4076"/>
    <w:rsid w:val="002F7B34"/>
    <w:rsid w:val="00300EE5"/>
    <w:rsid w:val="003020EB"/>
    <w:rsid w:val="003041D7"/>
    <w:rsid w:val="00304294"/>
    <w:rsid w:val="00304A18"/>
    <w:rsid w:val="003068BC"/>
    <w:rsid w:val="003105BC"/>
    <w:rsid w:val="00310A26"/>
    <w:rsid w:val="003122A8"/>
    <w:rsid w:val="00313927"/>
    <w:rsid w:val="00315105"/>
    <w:rsid w:val="00315BBC"/>
    <w:rsid w:val="003169D0"/>
    <w:rsid w:val="0031703B"/>
    <w:rsid w:val="003212D3"/>
    <w:rsid w:val="00321918"/>
    <w:rsid w:val="00321EE0"/>
    <w:rsid w:val="0032534D"/>
    <w:rsid w:val="00326912"/>
    <w:rsid w:val="00332B25"/>
    <w:rsid w:val="00334552"/>
    <w:rsid w:val="0033579E"/>
    <w:rsid w:val="00336933"/>
    <w:rsid w:val="00336F6E"/>
    <w:rsid w:val="003376EA"/>
    <w:rsid w:val="00340771"/>
    <w:rsid w:val="00342707"/>
    <w:rsid w:val="00343E26"/>
    <w:rsid w:val="00344C28"/>
    <w:rsid w:val="00345330"/>
    <w:rsid w:val="003456A7"/>
    <w:rsid w:val="00345B73"/>
    <w:rsid w:val="00351419"/>
    <w:rsid w:val="0035567C"/>
    <w:rsid w:val="003563AC"/>
    <w:rsid w:val="003566AA"/>
    <w:rsid w:val="00356959"/>
    <w:rsid w:val="00356EE5"/>
    <w:rsid w:val="00357168"/>
    <w:rsid w:val="0035721C"/>
    <w:rsid w:val="00357E0A"/>
    <w:rsid w:val="00361604"/>
    <w:rsid w:val="00366072"/>
    <w:rsid w:val="003677EF"/>
    <w:rsid w:val="00370E00"/>
    <w:rsid w:val="003735E5"/>
    <w:rsid w:val="00373FF9"/>
    <w:rsid w:val="00374BC7"/>
    <w:rsid w:val="0037520A"/>
    <w:rsid w:val="0038063E"/>
    <w:rsid w:val="003813ED"/>
    <w:rsid w:val="003823C6"/>
    <w:rsid w:val="003846EC"/>
    <w:rsid w:val="00385079"/>
    <w:rsid w:val="00385D09"/>
    <w:rsid w:val="00394C75"/>
    <w:rsid w:val="00395158"/>
    <w:rsid w:val="00396367"/>
    <w:rsid w:val="003A04F6"/>
    <w:rsid w:val="003A1132"/>
    <w:rsid w:val="003A1FA2"/>
    <w:rsid w:val="003A35C5"/>
    <w:rsid w:val="003A3804"/>
    <w:rsid w:val="003A7A5A"/>
    <w:rsid w:val="003B28E2"/>
    <w:rsid w:val="003B3678"/>
    <w:rsid w:val="003B3DA4"/>
    <w:rsid w:val="003B7B82"/>
    <w:rsid w:val="003C0139"/>
    <w:rsid w:val="003C029C"/>
    <w:rsid w:val="003C2A50"/>
    <w:rsid w:val="003C369F"/>
    <w:rsid w:val="003C3F46"/>
    <w:rsid w:val="003C688D"/>
    <w:rsid w:val="003D2F79"/>
    <w:rsid w:val="003D3B59"/>
    <w:rsid w:val="003D4157"/>
    <w:rsid w:val="003D4CBC"/>
    <w:rsid w:val="003D5D47"/>
    <w:rsid w:val="003D61C6"/>
    <w:rsid w:val="003D69AD"/>
    <w:rsid w:val="003D6E66"/>
    <w:rsid w:val="003E0F78"/>
    <w:rsid w:val="003E21A1"/>
    <w:rsid w:val="003E49FA"/>
    <w:rsid w:val="003E5DFC"/>
    <w:rsid w:val="003E6529"/>
    <w:rsid w:val="003E731E"/>
    <w:rsid w:val="003F0FF2"/>
    <w:rsid w:val="003F23CE"/>
    <w:rsid w:val="003F28A2"/>
    <w:rsid w:val="003F2D3A"/>
    <w:rsid w:val="003F5D33"/>
    <w:rsid w:val="003F620E"/>
    <w:rsid w:val="003F6B43"/>
    <w:rsid w:val="004004D0"/>
    <w:rsid w:val="00403D62"/>
    <w:rsid w:val="00405BD2"/>
    <w:rsid w:val="004060C8"/>
    <w:rsid w:val="00406F4B"/>
    <w:rsid w:val="0040751D"/>
    <w:rsid w:val="00407702"/>
    <w:rsid w:val="00410FAB"/>
    <w:rsid w:val="00411F69"/>
    <w:rsid w:val="00412B2D"/>
    <w:rsid w:val="00412BC0"/>
    <w:rsid w:val="00414518"/>
    <w:rsid w:val="00414847"/>
    <w:rsid w:val="00415137"/>
    <w:rsid w:val="00415794"/>
    <w:rsid w:val="00415AA1"/>
    <w:rsid w:val="004170D1"/>
    <w:rsid w:val="004171A6"/>
    <w:rsid w:val="00417EE8"/>
    <w:rsid w:val="00420139"/>
    <w:rsid w:val="00420DBB"/>
    <w:rsid w:val="004211CE"/>
    <w:rsid w:val="004230B3"/>
    <w:rsid w:val="00423948"/>
    <w:rsid w:val="004244D3"/>
    <w:rsid w:val="00424C6B"/>
    <w:rsid w:val="004256AC"/>
    <w:rsid w:val="004279E7"/>
    <w:rsid w:val="00430FC9"/>
    <w:rsid w:val="004313A0"/>
    <w:rsid w:val="00432123"/>
    <w:rsid w:val="00432318"/>
    <w:rsid w:val="004359D1"/>
    <w:rsid w:val="00436828"/>
    <w:rsid w:val="00441650"/>
    <w:rsid w:val="00444C0D"/>
    <w:rsid w:val="00446D17"/>
    <w:rsid w:val="004500B4"/>
    <w:rsid w:val="0045298F"/>
    <w:rsid w:val="0045397B"/>
    <w:rsid w:val="00453CA6"/>
    <w:rsid w:val="004542AC"/>
    <w:rsid w:val="0045584F"/>
    <w:rsid w:val="00456492"/>
    <w:rsid w:val="00457591"/>
    <w:rsid w:val="00460047"/>
    <w:rsid w:val="00460A2B"/>
    <w:rsid w:val="00460AF4"/>
    <w:rsid w:val="00461802"/>
    <w:rsid w:val="00461CE7"/>
    <w:rsid w:val="00465623"/>
    <w:rsid w:val="00467093"/>
    <w:rsid w:val="0047243F"/>
    <w:rsid w:val="004724C0"/>
    <w:rsid w:val="00472DE4"/>
    <w:rsid w:val="00473424"/>
    <w:rsid w:val="00473DEF"/>
    <w:rsid w:val="00473E2F"/>
    <w:rsid w:val="0047599C"/>
    <w:rsid w:val="00480F62"/>
    <w:rsid w:val="00481207"/>
    <w:rsid w:val="004824F0"/>
    <w:rsid w:val="00487D84"/>
    <w:rsid w:val="004905D6"/>
    <w:rsid w:val="00494DC1"/>
    <w:rsid w:val="00495976"/>
    <w:rsid w:val="00496BA4"/>
    <w:rsid w:val="00497CAE"/>
    <w:rsid w:val="004A18E9"/>
    <w:rsid w:val="004A1DD6"/>
    <w:rsid w:val="004A258C"/>
    <w:rsid w:val="004A2F0D"/>
    <w:rsid w:val="004A3FBB"/>
    <w:rsid w:val="004A566F"/>
    <w:rsid w:val="004A7559"/>
    <w:rsid w:val="004B1671"/>
    <w:rsid w:val="004B5ED5"/>
    <w:rsid w:val="004B6C4C"/>
    <w:rsid w:val="004B76FE"/>
    <w:rsid w:val="004B7840"/>
    <w:rsid w:val="004C05DE"/>
    <w:rsid w:val="004C0E41"/>
    <w:rsid w:val="004C1285"/>
    <w:rsid w:val="004C14A0"/>
    <w:rsid w:val="004C1711"/>
    <w:rsid w:val="004C375F"/>
    <w:rsid w:val="004C4165"/>
    <w:rsid w:val="004C45C5"/>
    <w:rsid w:val="004C6D08"/>
    <w:rsid w:val="004D2C6E"/>
    <w:rsid w:val="004D2E44"/>
    <w:rsid w:val="004D57B3"/>
    <w:rsid w:val="004E14CB"/>
    <w:rsid w:val="004E33EC"/>
    <w:rsid w:val="004E6303"/>
    <w:rsid w:val="004E6B32"/>
    <w:rsid w:val="004F024D"/>
    <w:rsid w:val="004F289B"/>
    <w:rsid w:val="004F5CEB"/>
    <w:rsid w:val="004F6624"/>
    <w:rsid w:val="004F6B97"/>
    <w:rsid w:val="004F7535"/>
    <w:rsid w:val="004F75A7"/>
    <w:rsid w:val="00502350"/>
    <w:rsid w:val="00503F80"/>
    <w:rsid w:val="005046CE"/>
    <w:rsid w:val="00504A7E"/>
    <w:rsid w:val="005056F8"/>
    <w:rsid w:val="00505DB8"/>
    <w:rsid w:val="00507244"/>
    <w:rsid w:val="0050739B"/>
    <w:rsid w:val="00510A87"/>
    <w:rsid w:val="00510FFF"/>
    <w:rsid w:val="00515C47"/>
    <w:rsid w:val="005167B3"/>
    <w:rsid w:val="0051689A"/>
    <w:rsid w:val="00521E2B"/>
    <w:rsid w:val="00522746"/>
    <w:rsid w:val="00523928"/>
    <w:rsid w:val="005246A6"/>
    <w:rsid w:val="00524CA6"/>
    <w:rsid w:val="00530FC8"/>
    <w:rsid w:val="00531661"/>
    <w:rsid w:val="005351EF"/>
    <w:rsid w:val="00535B1F"/>
    <w:rsid w:val="00535BAD"/>
    <w:rsid w:val="00540F9A"/>
    <w:rsid w:val="00542729"/>
    <w:rsid w:val="00543883"/>
    <w:rsid w:val="005439D1"/>
    <w:rsid w:val="00544537"/>
    <w:rsid w:val="005445FA"/>
    <w:rsid w:val="00546598"/>
    <w:rsid w:val="0054782D"/>
    <w:rsid w:val="00552B6E"/>
    <w:rsid w:val="00553779"/>
    <w:rsid w:val="00553A32"/>
    <w:rsid w:val="0055446B"/>
    <w:rsid w:val="00554FAF"/>
    <w:rsid w:val="00555BD3"/>
    <w:rsid w:val="0056226C"/>
    <w:rsid w:val="00563807"/>
    <w:rsid w:val="00564773"/>
    <w:rsid w:val="005656E0"/>
    <w:rsid w:val="00566DEC"/>
    <w:rsid w:val="005670EC"/>
    <w:rsid w:val="00567F03"/>
    <w:rsid w:val="00571435"/>
    <w:rsid w:val="00571C04"/>
    <w:rsid w:val="00572001"/>
    <w:rsid w:val="005729FF"/>
    <w:rsid w:val="005740AC"/>
    <w:rsid w:val="0057410C"/>
    <w:rsid w:val="005743D1"/>
    <w:rsid w:val="00574C14"/>
    <w:rsid w:val="00574E46"/>
    <w:rsid w:val="00574FFD"/>
    <w:rsid w:val="00575141"/>
    <w:rsid w:val="00575D01"/>
    <w:rsid w:val="005802FE"/>
    <w:rsid w:val="00581FA1"/>
    <w:rsid w:val="005833C0"/>
    <w:rsid w:val="005849B4"/>
    <w:rsid w:val="00585080"/>
    <w:rsid w:val="00585647"/>
    <w:rsid w:val="00590104"/>
    <w:rsid w:val="0059225D"/>
    <w:rsid w:val="005929EE"/>
    <w:rsid w:val="005934BB"/>
    <w:rsid w:val="005947F6"/>
    <w:rsid w:val="00595121"/>
    <w:rsid w:val="005959E2"/>
    <w:rsid w:val="0059780C"/>
    <w:rsid w:val="0059798E"/>
    <w:rsid w:val="005A05EA"/>
    <w:rsid w:val="005A11E0"/>
    <w:rsid w:val="005A15AF"/>
    <w:rsid w:val="005A32D0"/>
    <w:rsid w:val="005A40AA"/>
    <w:rsid w:val="005A4E83"/>
    <w:rsid w:val="005A6915"/>
    <w:rsid w:val="005A6F7D"/>
    <w:rsid w:val="005A718C"/>
    <w:rsid w:val="005A73F9"/>
    <w:rsid w:val="005B0C66"/>
    <w:rsid w:val="005B45CE"/>
    <w:rsid w:val="005B72BF"/>
    <w:rsid w:val="005B7E92"/>
    <w:rsid w:val="005C3599"/>
    <w:rsid w:val="005C4B83"/>
    <w:rsid w:val="005C6390"/>
    <w:rsid w:val="005C6469"/>
    <w:rsid w:val="005C6DEB"/>
    <w:rsid w:val="005C7029"/>
    <w:rsid w:val="005D0862"/>
    <w:rsid w:val="005D2404"/>
    <w:rsid w:val="005D30FF"/>
    <w:rsid w:val="005D3291"/>
    <w:rsid w:val="005D32FB"/>
    <w:rsid w:val="005D553D"/>
    <w:rsid w:val="005E060A"/>
    <w:rsid w:val="005E143A"/>
    <w:rsid w:val="005E245B"/>
    <w:rsid w:val="005E48BB"/>
    <w:rsid w:val="005E645B"/>
    <w:rsid w:val="005E64B7"/>
    <w:rsid w:val="005E6C32"/>
    <w:rsid w:val="005F01BD"/>
    <w:rsid w:val="005F1815"/>
    <w:rsid w:val="005F20E2"/>
    <w:rsid w:val="005F52B4"/>
    <w:rsid w:val="005F5615"/>
    <w:rsid w:val="005F582F"/>
    <w:rsid w:val="005F6BD1"/>
    <w:rsid w:val="00600539"/>
    <w:rsid w:val="006007AA"/>
    <w:rsid w:val="00603CD6"/>
    <w:rsid w:val="00603E73"/>
    <w:rsid w:val="00605154"/>
    <w:rsid w:val="00605472"/>
    <w:rsid w:val="00605718"/>
    <w:rsid w:val="00611A8C"/>
    <w:rsid w:val="0061395C"/>
    <w:rsid w:val="00614558"/>
    <w:rsid w:val="0061574E"/>
    <w:rsid w:val="00615A99"/>
    <w:rsid w:val="00616708"/>
    <w:rsid w:val="00617140"/>
    <w:rsid w:val="006207C8"/>
    <w:rsid w:val="00623278"/>
    <w:rsid w:val="006337FE"/>
    <w:rsid w:val="00633A17"/>
    <w:rsid w:val="00634C48"/>
    <w:rsid w:val="00634FBC"/>
    <w:rsid w:val="00635792"/>
    <w:rsid w:val="006357AE"/>
    <w:rsid w:val="0063605F"/>
    <w:rsid w:val="0064122F"/>
    <w:rsid w:val="00641837"/>
    <w:rsid w:val="00643141"/>
    <w:rsid w:val="00644883"/>
    <w:rsid w:val="00646048"/>
    <w:rsid w:val="0064685D"/>
    <w:rsid w:val="00650A47"/>
    <w:rsid w:val="006520C5"/>
    <w:rsid w:val="00652316"/>
    <w:rsid w:val="0065238B"/>
    <w:rsid w:val="006529AA"/>
    <w:rsid w:val="00652A16"/>
    <w:rsid w:val="006532D3"/>
    <w:rsid w:val="00653EBB"/>
    <w:rsid w:val="0065513B"/>
    <w:rsid w:val="00655C70"/>
    <w:rsid w:val="0065632C"/>
    <w:rsid w:val="00656918"/>
    <w:rsid w:val="00660F3F"/>
    <w:rsid w:val="0066205F"/>
    <w:rsid w:val="006620B4"/>
    <w:rsid w:val="006638E3"/>
    <w:rsid w:val="006655FE"/>
    <w:rsid w:val="00667AFD"/>
    <w:rsid w:val="00671CAD"/>
    <w:rsid w:val="00673317"/>
    <w:rsid w:val="00673D3F"/>
    <w:rsid w:val="00674C79"/>
    <w:rsid w:val="006752FC"/>
    <w:rsid w:val="0067530F"/>
    <w:rsid w:val="00675F8C"/>
    <w:rsid w:val="006761A5"/>
    <w:rsid w:val="00677214"/>
    <w:rsid w:val="006779D4"/>
    <w:rsid w:val="006806FA"/>
    <w:rsid w:val="00680E68"/>
    <w:rsid w:val="00682610"/>
    <w:rsid w:val="0068615D"/>
    <w:rsid w:val="00686D65"/>
    <w:rsid w:val="00691CA8"/>
    <w:rsid w:val="006929FF"/>
    <w:rsid w:val="006933B0"/>
    <w:rsid w:val="00694392"/>
    <w:rsid w:val="006946B2"/>
    <w:rsid w:val="006A09EF"/>
    <w:rsid w:val="006A1479"/>
    <w:rsid w:val="006A20B5"/>
    <w:rsid w:val="006A2755"/>
    <w:rsid w:val="006A35D2"/>
    <w:rsid w:val="006A3C83"/>
    <w:rsid w:val="006A3DE8"/>
    <w:rsid w:val="006A5391"/>
    <w:rsid w:val="006A78EC"/>
    <w:rsid w:val="006B0DBE"/>
    <w:rsid w:val="006B2C44"/>
    <w:rsid w:val="006B4F80"/>
    <w:rsid w:val="006C037C"/>
    <w:rsid w:val="006C0E1E"/>
    <w:rsid w:val="006C2DAF"/>
    <w:rsid w:val="006C7D89"/>
    <w:rsid w:val="006D1788"/>
    <w:rsid w:val="006D191F"/>
    <w:rsid w:val="006D19EE"/>
    <w:rsid w:val="006D24DE"/>
    <w:rsid w:val="006D27D2"/>
    <w:rsid w:val="006D2B93"/>
    <w:rsid w:val="006D4B46"/>
    <w:rsid w:val="006D5A2F"/>
    <w:rsid w:val="006D5F8F"/>
    <w:rsid w:val="006D6C08"/>
    <w:rsid w:val="006D6CD2"/>
    <w:rsid w:val="006E0DE0"/>
    <w:rsid w:val="006E17D4"/>
    <w:rsid w:val="006E2F17"/>
    <w:rsid w:val="006E3805"/>
    <w:rsid w:val="006E577C"/>
    <w:rsid w:val="006E7640"/>
    <w:rsid w:val="006F0782"/>
    <w:rsid w:val="006F1F20"/>
    <w:rsid w:val="006F56A3"/>
    <w:rsid w:val="00702EAA"/>
    <w:rsid w:val="007048C2"/>
    <w:rsid w:val="00705E45"/>
    <w:rsid w:val="00707640"/>
    <w:rsid w:val="007076EB"/>
    <w:rsid w:val="00710E58"/>
    <w:rsid w:val="00711A5A"/>
    <w:rsid w:val="007120E4"/>
    <w:rsid w:val="007125DB"/>
    <w:rsid w:val="00712686"/>
    <w:rsid w:val="007146E0"/>
    <w:rsid w:val="007165F0"/>
    <w:rsid w:val="00717665"/>
    <w:rsid w:val="00717EF5"/>
    <w:rsid w:val="00717F90"/>
    <w:rsid w:val="00720A48"/>
    <w:rsid w:val="007221C4"/>
    <w:rsid w:val="00722B7B"/>
    <w:rsid w:val="0072326A"/>
    <w:rsid w:val="00723EDD"/>
    <w:rsid w:val="00725DBA"/>
    <w:rsid w:val="00730D1C"/>
    <w:rsid w:val="00731381"/>
    <w:rsid w:val="00731634"/>
    <w:rsid w:val="007316DF"/>
    <w:rsid w:val="007316E8"/>
    <w:rsid w:val="007339DB"/>
    <w:rsid w:val="0073433F"/>
    <w:rsid w:val="00734880"/>
    <w:rsid w:val="00735888"/>
    <w:rsid w:val="00736BA6"/>
    <w:rsid w:val="007401FD"/>
    <w:rsid w:val="0074023D"/>
    <w:rsid w:val="00740F53"/>
    <w:rsid w:val="0074189C"/>
    <w:rsid w:val="00742B76"/>
    <w:rsid w:val="00742E2B"/>
    <w:rsid w:val="007514A5"/>
    <w:rsid w:val="00751AD6"/>
    <w:rsid w:val="007523D7"/>
    <w:rsid w:val="007527F4"/>
    <w:rsid w:val="00753A56"/>
    <w:rsid w:val="00753BEE"/>
    <w:rsid w:val="0075530F"/>
    <w:rsid w:val="00756D1F"/>
    <w:rsid w:val="00756E96"/>
    <w:rsid w:val="00760AE0"/>
    <w:rsid w:val="007625B7"/>
    <w:rsid w:val="00766050"/>
    <w:rsid w:val="0076762D"/>
    <w:rsid w:val="00771406"/>
    <w:rsid w:val="0077507E"/>
    <w:rsid w:val="00776B75"/>
    <w:rsid w:val="00776ED1"/>
    <w:rsid w:val="00777232"/>
    <w:rsid w:val="00777C87"/>
    <w:rsid w:val="00780524"/>
    <w:rsid w:val="00781B80"/>
    <w:rsid w:val="00783411"/>
    <w:rsid w:val="0078607D"/>
    <w:rsid w:val="00786567"/>
    <w:rsid w:val="00786946"/>
    <w:rsid w:val="00786C61"/>
    <w:rsid w:val="00787159"/>
    <w:rsid w:val="00787594"/>
    <w:rsid w:val="00787744"/>
    <w:rsid w:val="00787E37"/>
    <w:rsid w:val="007902E6"/>
    <w:rsid w:val="007944DF"/>
    <w:rsid w:val="00795481"/>
    <w:rsid w:val="007A096B"/>
    <w:rsid w:val="007A2CE9"/>
    <w:rsid w:val="007A47A5"/>
    <w:rsid w:val="007B0099"/>
    <w:rsid w:val="007B12A0"/>
    <w:rsid w:val="007B18DB"/>
    <w:rsid w:val="007B2867"/>
    <w:rsid w:val="007B5E5C"/>
    <w:rsid w:val="007B67E5"/>
    <w:rsid w:val="007B7CF6"/>
    <w:rsid w:val="007B7F8B"/>
    <w:rsid w:val="007C1786"/>
    <w:rsid w:val="007C1B51"/>
    <w:rsid w:val="007C21B9"/>
    <w:rsid w:val="007C25B1"/>
    <w:rsid w:val="007C2623"/>
    <w:rsid w:val="007C3888"/>
    <w:rsid w:val="007C3AA8"/>
    <w:rsid w:val="007C452D"/>
    <w:rsid w:val="007C473A"/>
    <w:rsid w:val="007C59C6"/>
    <w:rsid w:val="007D22A0"/>
    <w:rsid w:val="007D3D29"/>
    <w:rsid w:val="007D4048"/>
    <w:rsid w:val="007D4780"/>
    <w:rsid w:val="007D68C8"/>
    <w:rsid w:val="007D79A1"/>
    <w:rsid w:val="007E0322"/>
    <w:rsid w:val="007E06BD"/>
    <w:rsid w:val="007E0A11"/>
    <w:rsid w:val="007E18B4"/>
    <w:rsid w:val="007E1FD8"/>
    <w:rsid w:val="007E302A"/>
    <w:rsid w:val="007E6677"/>
    <w:rsid w:val="007E6A6A"/>
    <w:rsid w:val="007E6E93"/>
    <w:rsid w:val="007F038A"/>
    <w:rsid w:val="007F11DF"/>
    <w:rsid w:val="007F3956"/>
    <w:rsid w:val="007F6B0D"/>
    <w:rsid w:val="007F6B45"/>
    <w:rsid w:val="008003D6"/>
    <w:rsid w:val="008010CD"/>
    <w:rsid w:val="00801934"/>
    <w:rsid w:val="0080337E"/>
    <w:rsid w:val="00803CE2"/>
    <w:rsid w:val="00805815"/>
    <w:rsid w:val="00805CA8"/>
    <w:rsid w:val="00805E64"/>
    <w:rsid w:val="00806AC1"/>
    <w:rsid w:val="00810BCA"/>
    <w:rsid w:val="00812364"/>
    <w:rsid w:val="00814CC4"/>
    <w:rsid w:val="00817CE2"/>
    <w:rsid w:val="00820CDE"/>
    <w:rsid w:val="00820F38"/>
    <w:rsid w:val="008231B4"/>
    <w:rsid w:val="00823D6C"/>
    <w:rsid w:val="0082493A"/>
    <w:rsid w:val="00825B20"/>
    <w:rsid w:val="00831BAD"/>
    <w:rsid w:val="0083379A"/>
    <w:rsid w:val="008338F8"/>
    <w:rsid w:val="00833DBC"/>
    <w:rsid w:val="00834114"/>
    <w:rsid w:val="00834616"/>
    <w:rsid w:val="00836B14"/>
    <w:rsid w:val="00841551"/>
    <w:rsid w:val="008417B7"/>
    <w:rsid w:val="00841BAB"/>
    <w:rsid w:val="00844941"/>
    <w:rsid w:val="0084725B"/>
    <w:rsid w:val="0084768C"/>
    <w:rsid w:val="00851242"/>
    <w:rsid w:val="0085135A"/>
    <w:rsid w:val="00851743"/>
    <w:rsid w:val="0085178D"/>
    <w:rsid w:val="0085536E"/>
    <w:rsid w:val="00857A40"/>
    <w:rsid w:val="00857E93"/>
    <w:rsid w:val="00860A33"/>
    <w:rsid w:val="00860ECE"/>
    <w:rsid w:val="008614FB"/>
    <w:rsid w:val="008630FF"/>
    <w:rsid w:val="00863122"/>
    <w:rsid w:val="008638FF"/>
    <w:rsid w:val="0086419C"/>
    <w:rsid w:val="008643DC"/>
    <w:rsid w:val="008649AD"/>
    <w:rsid w:val="008653D5"/>
    <w:rsid w:val="00866744"/>
    <w:rsid w:val="00866E69"/>
    <w:rsid w:val="008700D8"/>
    <w:rsid w:val="00870604"/>
    <w:rsid w:val="008718DA"/>
    <w:rsid w:val="0087324E"/>
    <w:rsid w:val="00873943"/>
    <w:rsid w:val="00873E43"/>
    <w:rsid w:val="00874465"/>
    <w:rsid w:val="0087456B"/>
    <w:rsid w:val="00876609"/>
    <w:rsid w:val="008768E6"/>
    <w:rsid w:val="0088095A"/>
    <w:rsid w:val="00880F7C"/>
    <w:rsid w:val="0088142A"/>
    <w:rsid w:val="00883B5D"/>
    <w:rsid w:val="008854B7"/>
    <w:rsid w:val="00887FFE"/>
    <w:rsid w:val="008918B1"/>
    <w:rsid w:val="00892441"/>
    <w:rsid w:val="008952E5"/>
    <w:rsid w:val="00896432"/>
    <w:rsid w:val="00897CBC"/>
    <w:rsid w:val="008A06ED"/>
    <w:rsid w:val="008A0C00"/>
    <w:rsid w:val="008A2B66"/>
    <w:rsid w:val="008A4131"/>
    <w:rsid w:val="008A4769"/>
    <w:rsid w:val="008A4F3C"/>
    <w:rsid w:val="008A6484"/>
    <w:rsid w:val="008A6706"/>
    <w:rsid w:val="008A6949"/>
    <w:rsid w:val="008B2B36"/>
    <w:rsid w:val="008B32F4"/>
    <w:rsid w:val="008B4867"/>
    <w:rsid w:val="008B4D3A"/>
    <w:rsid w:val="008B566D"/>
    <w:rsid w:val="008B681D"/>
    <w:rsid w:val="008C35F0"/>
    <w:rsid w:val="008C71EA"/>
    <w:rsid w:val="008D0534"/>
    <w:rsid w:val="008D0AEE"/>
    <w:rsid w:val="008D10D6"/>
    <w:rsid w:val="008D2BE7"/>
    <w:rsid w:val="008D3980"/>
    <w:rsid w:val="008D414D"/>
    <w:rsid w:val="008D487B"/>
    <w:rsid w:val="008D5F9F"/>
    <w:rsid w:val="008D63C0"/>
    <w:rsid w:val="008D6E7C"/>
    <w:rsid w:val="008E02ED"/>
    <w:rsid w:val="008E080B"/>
    <w:rsid w:val="008E2977"/>
    <w:rsid w:val="008E3CBE"/>
    <w:rsid w:val="008E459E"/>
    <w:rsid w:val="008E4E90"/>
    <w:rsid w:val="008E6565"/>
    <w:rsid w:val="008E6801"/>
    <w:rsid w:val="008E73D4"/>
    <w:rsid w:val="008E7D28"/>
    <w:rsid w:val="008F0803"/>
    <w:rsid w:val="008F0B26"/>
    <w:rsid w:val="008F2284"/>
    <w:rsid w:val="008F4774"/>
    <w:rsid w:val="008F4B1E"/>
    <w:rsid w:val="008F76B6"/>
    <w:rsid w:val="00900DE7"/>
    <w:rsid w:val="00901007"/>
    <w:rsid w:val="0090328D"/>
    <w:rsid w:val="00903649"/>
    <w:rsid w:val="009036E3"/>
    <w:rsid w:val="00906194"/>
    <w:rsid w:val="00906825"/>
    <w:rsid w:val="00907592"/>
    <w:rsid w:val="00912305"/>
    <w:rsid w:val="00913137"/>
    <w:rsid w:val="00913470"/>
    <w:rsid w:val="009139CD"/>
    <w:rsid w:val="00913C5E"/>
    <w:rsid w:val="00914F39"/>
    <w:rsid w:val="0091532D"/>
    <w:rsid w:val="009166D0"/>
    <w:rsid w:val="009177C8"/>
    <w:rsid w:val="00917D08"/>
    <w:rsid w:val="009214A6"/>
    <w:rsid w:val="00922EA9"/>
    <w:rsid w:val="009247E2"/>
    <w:rsid w:val="00924C4C"/>
    <w:rsid w:val="009269D0"/>
    <w:rsid w:val="00927B45"/>
    <w:rsid w:val="00930210"/>
    <w:rsid w:val="00930AA2"/>
    <w:rsid w:val="0093199A"/>
    <w:rsid w:val="00932050"/>
    <w:rsid w:val="0093230F"/>
    <w:rsid w:val="00933CC1"/>
    <w:rsid w:val="009340F7"/>
    <w:rsid w:val="00934AED"/>
    <w:rsid w:val="00936E16"/>
    <w:rsid w:val="00942EF4"/>
    <w:rsid w:val="009519E9"/>
    <w:rsid w:val="00964746"/>
    <w:rsid w:val="00965A77"/>
    <w:rsid w:val="009662C3"/>
    <w:rsid w:val="00966CD0"/>
    <w:rsid w:val="009678B5"/>
    <w:rsid w:val="0097041B"/>
    <w:rsid w:val="00971C4B"/>
    <w:rsid w:val="00971F0D"/>
    <w:rsid w:val="0097213C"/>
    <w:rsid w:val="009722AF"/>
    <w:rsid w:val="00972F3E"/>
    <w:rsid w:val="00973046"/>
    <w:rsid w:val="00973E9D"/>
    <w:rsid w:val="00974A74"/>
    <w:rsid w:val="00974B33"/>
    <w:rsid w:val="00975EC0"/>
    <w:rsid w:val="0097602D"/>
    <w:rsid w:val="009805EC"/>
    <w:rsid w:val="009817EB"/>
    <w:rsid w:val="00983178"/>
    <w:rsid w:val="00984793"/>
    <w:rsid w:val="00984A14"/>
    <w:rsid w:val="009854ED"/>
    <w:rsid w:val="009857BA"/>
    <w:rsid w:val="00990655"/>
    <w:rsid w:val="00992050"/>
    <w:rsid w:val="00993C27"/>
    <w:rsid w:val="00996C1F"/>
    <w:rsid w:val="009972C5"/>
    <w:rsid w:val="00997476"/>
    <w:rsid w:val="009A0AB5"/>
    <w:rsid w:val="009A32EF"/>
    <w:rsid w:val="009A358A"/>
    <w:rsid w:val="009A3994"/>
    <w:rsid w:val="009A606A"/>
    <w:rsid w:val="009A6ADB"/>
    <w:rsid w:val="009A6B7C"/>
    <w:rsid w:val="009A7E5B"/>
    <w:rsid w:val="009A7E60"/>
    <w:rsid w:val="009B014A"/>
    <w:rsid w:val="009B2AC0"/>
    <w:rsid w:val="009B2E08"/>
    <w:rsid w:val="009B3E8B"/>
    <w:rsid w:val="009B6C0F"/>
    <w:rsid w:val="009B6D1A"/>
    <w:rsid w:val="009B772B"/>
    <w:rsid w:val="009C0DE1"/>
    <w:rsid w:val="009C4DEA"/>
    <w:rsid w:val="009C5525"/>
    <w:rsid w:val="009C574C"/>
    <w:rsid w:val="009C58E2"/>
    <w:rsid w:val="009C7117"/>
    <w:rsid w:val="009D22F9"/>
    <w:rsid w:val="009D34BC"/>
    <w:rsid w:val="009D6C84"/>
    <w:rsid w:val="009D7F89"/>
    <w:rsid w:val="009E0DF9"/>
    <w:rsid w:val="009E16B5"/>
    <w:rsid w:val="009E3DB1"/>
    <w:rsid w:val="009E4863"/>
    <w:rsid w:val="009E62A6"/>
    <w:rsid w:val="009F092C"/>
    <w:rsid w:val="009F0E85"/>
    <w:rsid w:val="009F1132"/>
    <w:rsid w:val="009F18D1"/>
    <w:rsid w:val="009F2A7F"/>
    <w:rsid w:val="009F2C69"/>
    <w:rsid w:val="009F3396"/>
    <w:rsid w:val="009F3F16"/>
    <w:rsid w:val="00A00237"/>
    <w:rsid w:val="00A0065D"/>
    <w:rsid w:val="00A00D64"/>
    <w:rsid w:val="00A024F3"/>
    <w:rsid w:val="00A03333"/>
    <w:rsid w:val="00A034E3"/>
    <w:rsid w:val="00A05028"/>
    <w:rsid w:val="00A050F6"/>
    <w:rsid w:val="00A05F7C"/>
    <w:rsid w:val="00A07CCF"/>
    <w:rsid w:val="00A1022D"/>
    <w:rsid w:val="00A11AA3"/>
    <w:rsid w:val="00A1226D"/>
    <w:rsid w:val="00A13F5A"/>
    <w:rsid w:val="00A148EC"/>
    <w:rsid w:val="00A14A52"/>
    <w:rsid w:val="00A14B01"/>
    <w:rsid w:val="00A15CAD"/>
    <w:rsid w:val="00A20092"/>
    <w:rsid w:val="00A20DCD"/>
    <w:rsid w:val="00A21EC1"/>
    <w:rsid w:val="00A226E0"/>
    <w:rsid w:val="00A24DFE"/>
    <w:rsid w:val="00A30839"/>
    <w:rsid w:val="00A32BE1"/>
    <w:rsid w:val="00A33796"/>
    <w:rsid w:val="00A3505E"/>
    <w:rsid w:val="00A3515B"/>
    <w:rsid w:val="00A3738F"/>
    <w:rsid w:val="00A4047E"/>
    <w:rsid w:val="00A408A8"/>
    <w:rsid w:val="00A42522"/>
    <w:rsid w:val="00A4638E"/>
    <w:rsid w:val="00A47DA9"/>
    <w:rsid w:val="00A56271"/>
    <w:rsid w:val="00A608A9"/>
    <w:rsid w:val="00A66B08"/>
    <w:rsid w:val="00A749A6"/>
    <w:rsid w:val="00A75509"/>
    <w:rsid w:val="00A769A4"/>
    <w:rsid w:val="00A76FED"/>
    <w:rsid w:val="00A77464"/>
    <w:rsid w:val="00A80D38"/>
    <w:rsid w:val="00A80FF6"/>
    <w:rsid w:val="00A823A2"/>
    <w:rsid w:val="00A837F0"/>
    <w:rsid w:val="00A8387D"/>
    <w:rsid w:val="00A84187"/>
    <w:rsid w:val="00A85241"/>
    <w:rsid w:val="00A852A1"/>
    <w:rsid w:val="00A87B3E"/>
    <w:rsid w:val="00A908DB"/>
    <w:rsid w:val="00A91819"/>
    <w:rsid w:val="00A91E04"/>
    <w:rsid w:val="00A92AD9"/>
    <w:rsid w:val="00A93564"/>
    <w:rsid w:val="00A95BD5"/>
    <w:rsid w:val="00A96344"/>
    <w:rsid w:val="00A972BE"/>
    <w:rsid w:val="00AA2C56"/>
    <w:rsid w:val="00AA2F96"/>
    <w:rsid w:val="00AA465B"/>
    <w:rsid w:val="00AA4888"/>
    <w:rsid w:val="00AB028D"/>
    <w:rsid w:val="00AB332E"/>
    <w:rsid w:val="00AB3FA1"/>
    <w:rsid w:val="00AB41D5"/>
    <w:rsid w:val="00AB7AEC"/>
    <w:rsid w:val="00AC0033"/>
    <w:rsid w:val="00AC09E4"/>
    <w:rsid w:val="00AC0F02"/>
    <w:rsid w:val="00AC2E89"/>
    <w:rsid w:val="00AC2ED4"/>
    <w:rsid w:val="00AC3089"/>
    <w:rsid w:val="00AC3F38"/>
    <w:rsid w:val="00AC4084"/>
    <w:rsid w:val="00AC5026"/>
    <w:rsid w:val="00AC6512"/>
    <w:rsid w:val="00AD0CD9"/>
    <w:rsid w:val="00AD2768"/>
    <w:rsid w:val="00AD2ED7"/>
    <w:rsid w:val="00AD33EE"/>
    <w:rsid w:val="00AD48CA"/>
    <w:rsid w:val="00AD5D58"/>
    <w:rsid w:val="00AD5F6C"/>
    <w:rsid w:val="00AE075A"/>
    <w:rsid w:val="00AE0B13"/>
    <w:rsid w:val="00AE0B54"/>
    <w:rsid w:val="00AE11D1"/>
    <w:rsid w:val="00AE165B"/>
    <w:rsid w:val="00AE247C"/>
    <w:rsid w:val="00AF1A2E"/>
    <w:rsid w:val="00AF1B7C"/>
    <w:rsid w:val="00AF22C4"/>
    <w:rsid w:val="00AF3549"/>
    <w:rsid w:val="00AF39FD"/>
    <w:rsid w:val="00AF66FB"/>
    <w:rsid w:val="00AF7CF9"/>
    <w:rsid w:val="00B001BF"/>
    <w:rsid w:val="00B003FB"/>
    <w:rsid w:val="00B01019"/>
    <w:rsid w:val="00B016CD"/>
    <w:rsid w:val="00B03ACC"/>
    <w:rsid w:val="00B05A14"/>
    <w:rsid w:val="00B11392"/>
    <w:rsid w:val="00B116D3"/>
    <w:rsid w:val="00B11DE1"/>
    <w:rsid w:val="00B12A81"/>
    <w:rsid w:val="00B137CA"/>
    <w:rsid w:val="00B142A0"/>
    <w:rsid w:val="00B160A0"/>
    <w:rsid w:val="00B162A3"/>
    <w:rsid w:val="00B20084"/>
    <w:rsid w:val="00B20152"/>
    <w:rsid w:val="00B214AB"/>
    <w:rsid w:val="00B2497B"/>
    <w:rsid w:val="00B26C68"/>
    <w:rsid w:val="00B27279"/>
    <w:rsid w:val="00B313B0"/>
    <w:rsid w:val="00B320A0"/>
    <w:rsid w:val="00B33041"/>
    <w:rsid w:val="00B34540"/>
    <w:rsid w:val="00B35EA6"/>
    <w:rsid w:val="00B37872"/>
    <w:rsid w:val="00B41064"/>
    <w:rsid w:val="00B41465"/>
    <w:rsid w:val="00B41E79"/>
    <w:rsid w:val="00B442C3"/>
    <w:rsid w:val="00B465A7"/>
    <w:rsid w:val="00B47529"/>
    <w:rsid w:val="00B475D7"/>
    <w:rsid w:val="00B50C0B"/>
    <w:rsid w:val="00B52DAB"/>
    <w:rsid w:val="00B5481E"/>
    <w:rsid w:val="00B55F7A"/>
    <w:rsid w:val="00B56EB0"/>
    <w:rsid w:val="00B61AB8"/>
    <w:rsid w:val="00B62455"/>
    <w:rsid w:val="00B6338F"/>
    <w:rsid w:val="00B6569D"/>
    <w:rsid w:val="00B65B9E"/>
    <w:rsid w:val="00B65FB6"/>
    <w:rsid w:val="00B66947"/>
    <w:rsid w:val="00B66FB0"/>
    <w:rsid w:val="00B70CF6"/>
    <w:rsid w:val="00B72AD8"/>
    <w:rsid w:val="00B7380A"/>
    <w:rsid w:val="00B73BE8"/>
    <w:rsid w:val="00B73EF7"/>
    <w:rsid w:val="00B769D5"/>
    <w:rsid w:val="00B779FD"/>
    <w:rsid w:val="00B81826"/>
    <w:rsid w:val="00B82527"/>
    <w:rsid w:val="00B82A19"/>
    <w:rsid w:val="00B90303"/>
    <w:rsid w:val="00B917B3"/>
    <w:rsid w:val="00B95559"/>
    <w:rsid w:val="00B96413"/>
    <w:rsid w:val="00B976B4"/>
    <w:rsid w:val="00B97F1E"/>
    <w:rsid w:val="00B97FE1"/>
    <w:rsid w:val="00BA1D0F"/>
    <w:rsid w:val="00BA3ABA"/>
    <w:rsid w:val="00BA7D36"/>
    <w:rsid w:val="00BB14DD"/>
    <w:rsid w:val="00BB177B"/>
    <w:rsid w:val="00BB1CE1"/>
    <w:rsid w:val="00BB57D3"/>
    <w:rsid w:val="00BB5D01"/>
    <w:rsid w:val="00BB646F"/>
    <w:rsid w:val="00BB6633"/>
    <w:rsid w:val="00BB7113"/>
    <w:rsid w:val="00BB7DDE"/>
    <w:rsid w:val="00BC0F3D"/>
    <w:rsid w:val="00BC1DC1"/>
    <w:rsid w:val="00BC3457"/>
    <w:rsid w:val="00BC3A0B"/>
    <w:rsid w:val="00BC4418"/>
    <w:rsid w:val="00BC45FE"/>
    <w:rsid w:val="00BC4DF5"/>
    <w:rsid w:val="00BC56DE"/>
    <w:rsid w:val="00BC5C17"/>
    <w:rsid w:val="00BC6F57"/>
    <w:rsid w:val="00BD1410"/>
    <w:rsid w:val="00BD2F69"/>
    <w:rsid w:val="00BD58B4"/>
    <w:rsid w:val="00BD60A3"/>
    <w:rsid w:val="00BD7E45"/>
    <w:rsid w:val="00BE0CC6"/>
    <w:rsid w:val="00BE19FE"/>
    <w:rsid w:val="00BE6F30"/>
    <w:rsid w:val="00BE7F42"/>
    <w:rsid w:val="00BF042A"/>
    <w:rsid w:val="00BF2009"/>
    <w:rsid w:val="00BF4A40"/>
    <w:rsid w:val="00BF5347"/>
    <w:rsid w:val="00BF5BEA"/>
    <w:rsid w:val="00BF6933"/>
    <w:rsid w:val="00BF6A1D"/>
    <w:rsid w:val="00BF708F"/>
    <w:rsid w:val="00BF7213"/>
    <w:rsid w:val="00C00F72"/>
    <w:rsid w:val="00C02455"/>
    <w:rsid w:val="00C043CF"/>
    <w:rsid w:val="00C05FDF"/>
    <w:rsid w:val="00C0710F"/>
    <w:rsid w:val="00C101CB"/>
    <w:rsid w:val="00C10274"/>
    <w:rsid w:val="00C1047B"/>
    <w:rsid w:val="00C12445"/>
    <w:rsid w:val="00C16706"/>
    <w:rsid w:val="00C172D1"/>
    <w:rsid w:val="00C20473"/>
    <w:rsid w:val="00C20495"/>
    <w:rsid w:val="00C20BBA"/>
    <w:rsid w:val="00C21427"/>
    <w:rsid w:val="00C220F5"/>
    <w:rsid w:val="00C22660"/>
    <w:rsid w:val="00C23B1A"/>
    <w:rsid w:val="00C24D95"/>
    <w:rsid w:val="00C252F3"/>
    <w:rsid w:val="00C25F07"/>
    <w:rsid w:val="00C27871"/>
    <w:rsid w:val="00C30B95"/>
    <w:rsid w:val="00C31DB0"/>
    <w:rsid w:val="00C33EEC"/>
    <w:rsid w:val="00C36500"/>
    <w:rsid w:val="00C37941"/>
    <w:rsid w:val="00C37C18"/>
    <w:rsid w:val="00C42083"/>
    <w:rsid w:val="00C4230E"/>
    <w:rsid w:val="00C43E5E"/>
    <w:rsid w:val="00C44C44"/>
    <w:rsid w:val="00C46058"/>
    <w:rsid w:val="00C46877"/>
    <w:rsid w:val="00C52868"/>
    <w:rsid w:val="00C52FCC"/>
    <w:rsid w:val="00C55E13"/>
    <w:rsid w:val="00C601FD"/>
    <w:rsid w:val="00C61036"/>
    <w:rsid w:val="00C64D83"/>
    <w:rsid w:val="00C67C07"/>
    <w:rsid w:val="00C70456"/>
    <w:rsid w:val="00C704C3"/>
    <w:rsid w:val="00C708BC"/>
    <w:rsid w:val="00C716CC"/>
    <w:rsid w:val="00C71B42"/>
    <w:rsid w:val="00C71D07"/>
    <w:rsid w:val="00C728C8"/>
    <w:rsid w:val="00C73672"/>
    <w:rsid w:val="00C73990"/>
    <w:rsid w:val="00C73A7A"/>
    <w:rsid w:val="00C73EE3"/>
    <w:rsid w:val="00C75477"/>
    <w:rsid w:val="00C803E4"/>
    <w:rsid w:val="00C817C2"/>
    <w:rsid w:val="00C830A3"/>
    <w:rsid w:val="00C86281"/>
    <w:rsid w:val="00C874CE"/>
    <w:rsid w:val="00C878D6"/>
    <w:rsid w:val="00C878DD"/>
    <w:rsid w:val="00C90E91"/>
    <w:rsid w:val="00C919A3"/>
    <w:rsid w:val="00C93A0D"/>
    <w:rsid w:val="00C9503E"/>
    <w:rsid w:val="00C95BA9"/>
    <w:rsid w:val="00C960FB"/>
    <w:rsid w:val="00C9621F"/>
    <w:rsid w:val="00C9785B"/>
    <w:rsid w:val="00CA0866"/>
    <w:rsid w:val="00CA0F67"/>
    <w:rsid w:val="00CA1BDB"/>
    <w:rsid w:val="00CA25A0"/>
    <w:rsid w:val="00CA3A19"/>
    <w:rsid w:val="00CA734C"/>
    <w:rsid w:val="00CB0F09"/>
    <w:rsid w:val="00CB13A3"/>
    <w:rsid w:val="00CB194E"/>
    <w:rsid w:val="00CB1BDC"/>
    <w:rsid w:val="00CB3C66"/>
    <w:rsid w:val="00CB4B8A"/>
    <w:rsid w:val="00CB6B07"/>
    <w:rsid w:val="00CC0B3E"/>
    <w:rsid w:val="00CC0B42"/>
    <w:rsid w:val="00CC0F95"/>
    <w:rsid w:val="00CC11A4"/>
    <w:rsid w:val="00CC3C93"/>
    <w:rsid w:val="00CC535F"/>
    <w:rsid w:val="00CC61BB"/>
    <w:rsid w:val="00CC6C06"/>
    <w:rsid w:val="00CC78ED"/>
    <w:rsid w:val="00CC7B0F"/>
    <w:rsid w:val="00CD13A2"/>
    <w:rsid w:val="00CD2C1B"/>
    <w:rsid w:val="00CD5BA5"/>
    <w:rsid w:val="00CD5D3F"/>
    <w:rsid w:val="00CD60EB"/>
    <w:rsid w:val="00CD611E"/>
    <w:rsid w:val="00CD7201"/>
    <w:rsid w:val="00CD7917"/>
    <w:rsid w:val="00CD7FFC"/>
    <w:rsid w:val="00CE066B"/>
    <w:rsid w:val="00CE22B1"/>
    <w:rsid w:val="00CE3E3A"/>
    <w:rsid w:val="00CE417E"/>
    <w:rsid w:val="00CE5369"/>
    <w:rsid w:val="00CE56C8"/>
    <w:rsid w:val="00CE6022"/>
    <w:rsid w:val="00CE6102"/>
    <w:rsid w:val="00CE6DE2"/>
    <w:rsid w:val="00CF0120"/>
    <w:rsid w:val="00CF0281"/>
    <w:rsid w:val="00CF1390"/>
    <w:rsid w:val="00CF33CB"/>
    <w:rsid w:val="00CF3C63"/>
    <w:rsid w:val="00CF6E3E"/>
    <w:rsid w:val="00CF7321"/>
    <w:rsid w:val="00D01682"/>
    <w:rsid w:val="00D03604"/>
    <w:rsid w:val="00D06313"/>
    <w:rsid w:val="00D06BF9"/>
    <w:rsid w:val="00D07026"/>
    <w:rsid w:val="00D0728E"/>
    <w:rsid w:val="00D101EE"/>
    <w:rsid w:val="00D12197"/>
    <w:rsid w:val="00D125E6"/>
    <w:rsid w:val="00D13E8E"/>
    <w:rsid w:val="00D1443B"/>
    <w:rsid w:val="00D1524B"/>
    <w:rsid w:val="00D1685C"/>
    <w:rsid w:val="00D16DDE"/>
    <w:rsid w:val="00D202CD"/>
    <w:rsid w:val="00D21401"/>
    <w:rsid w:val="00D24372"/>
    <w:rsid w:val="00D2492F"/>
    <w:rsid w:val="00D25250"/>
    <w:rsid w:val="00D26C06"/>
    <w:rsid w:val="00D34181"/>
    <w:rsid w:val="00D3606E"/>
    <w:rsid w:val="00D36490"/>
    <w:rsid w:val="00D37098"/>
    <w:rsid w:val="00D37CEC"/>
    <w:rsid w:val="00D4099D"/>
    <w:rsid w:val="00D43EBB"/>
    <w:rsid w:val="00D450EB"/>
    <w:rsid w:val="00D45B3C"/>
    <w:rsid w:val="00D45F64"/>
    <w:rsid w:val="00D4748F"/>
    <w:rsid w:val="00D50585"/>
    <w:rsid w:val="00D5069E"/>
    <w:rsid w:val="00D520F8"/>
    <w:rsid w:val="00D543F1"/>
    <w:rsid w:val="00D55F5E"/>
    <w:rsid w:val="00D56179"/>
    <w:rsid w:val="00D5692A"/>
    <w:rsid w:val="00D61797"/>
    <w:rsid w:val="00D61D3C"/>
    <w:rsid w:val="00D62259"/>
    <w:rsid w:val="00D6388D"/>
    <w:rsid w:val="00D64A96"/>
    <w:rsid w:val="00D734C9"/>
    <w:rsid w:val="00D73CAA"/>
    <w:rsid w:val="00D7447C"/>
    <w:rsid w:val="00D74FE5"/>
    <w:rsid w:val="00D8058A"/>
    <w:rsid w:val="00D80D0A"/>
    <w:rsid w:val="00D80DB0"/>
    <w:rsid w:val="00D818E1"/>
    <w:rsid w:val="00D81980"/>
    <w:rsid w:val="00D834C3"/>
    <w:rsid w:val="00D84808"/>
    <w:rsid w:val="00D911FC"/>
    <w:rsid w:val="00D9122A"/>
    <w:rsid w:val="00D9147A"/>
    <w:rsid w:val="00D9266A"/>
    <w:rsid w:val="00D92AD1"/>
    <w:rsid w:val="00D938E9"/>
    <w:rsid w:val="00D94D40"/>
    <w:rsid w:val="00D94FCB"/>
    <w:rsid w:val="00DA178B"/>
    <w:rsid w:val="00DA4267"/>
    <w:rsid w:val="00DB06A3"/>
    <w:rsid w:val="00DB18C0"/>
    <w:rsid w:val="00DB397A"/>
    <w:rsid w:val="00DB3B55"/>
    <w:rsid w:val="00DB589B"/>
    <w:rsid w:val="00DB58CE"/>
    <w:rsid w:val="00DB5C1B"/>
    <w:rsid w:val="00DB64D1"/>
    <w:rsid w:val="00DB69E5"/>
    <w:rsid w:val="00DB6F77"/>
    <w:rsid w:val="00DB73A2"/>
    <w:rsid w:val="00DB74F1"/>
    <w:rsid w:val="00DC1BF0"/>
    <w:rsid w:val="00DC2339"/>
    <w:rsid w:val="00DC2943"/>
    <w:rsid w:val="00DC5AA1"/>
    <w:rsid w:val="00DC5FC2"/>
    <w:rsid w:val="00DC7555"/>
    <w:rsid w:val="00DD14CA"/>
    <w:rsid w:val="00DD187D"/>
    <w:rsid w:val="00DD225D"/>
    <w:rsid w:val="00DD228A"/>
    <w:rsid w:val="00DD44E6"/>
    <w:rsid w:val="00DD487F"/>
    <w:rsid w:val="00DD5E09"/>
    <w:rsid w:val="00DD74BE"/>
    <w:rsid w:val="00DD7A76"/>
    <w:rsid w:val="00DE019C"/>
    <w:rsid w:val="00DE35FD"/>
    <w:rsid w:val="00DE3FB8"/>
    <w:rsid w:val="00DE55B9"/>
    <w:rsid w:val="00DF1E58"/>
    <w:rsid w:val="00DF22DE"/>
    <w:rsid w:val="00DF2F93"/>
    <w:rsid w:val="00DF5BED"/>
    <w:rsid w:val="00E0111E"/>
    <w:rsid w:val="00E021F4"/>
    <w:rsid w:val="00E02E60"/>
    <w:rsid w:val="00E03E85"/>
    <w:rsid w:val="00E05483"/>
    <w:rsid w:val="00E06018"/>
    <w:rsid w:val="00E06E57"/>
    <w:rsid w:val="00E122CC"/>
    <w:rsid w:val="00E14E98"/>
    <w:rsid w:val="00E153D4"/>
    <w:rsid w:val="00E162E6"/>
    <w:rsid w:val="00E20E13"/>
    <w:rsid w:val="00E216C7"/>
    <w:rsid w:val="00E22116"/>
    <w:rsid w:val="00E22B29"/>
    <w:rsid w:val="00E23033"/>
    <w:rsid w:val="00E24A66"/>
    <w:rsid w:val="00E2504C"/>
    <w:rsid w:val="00E26095"/>
    <w:rsid w:val="00E3073C"/>
    <w:rsid w:val="00E31D3A"/>
    <w:rsid w:val="00E327CE"/>
    <w:rsid w:val="00E3400C"/>
    <w:rsid w:val="00E35CDC"/>
    <w:rsid w:val="00E3636D"/>
    <w:rsid w:val="00E37087"/>
    <w:rsid w:val="00E37540"/>
    <w:rsid w:val="00E375E3"/>
    <w:rsid w:val="00E401BB"/>
    <w:rsid w:val="00E40D60"/>
    <w:rsid w:val="00E4196F"/>
    <w:rsid w:val="00E41DFD"/>
    <w:rsid w:val="00E422F2"/>
    <w:rsid w:val="00E429C3"/>
    <w:rsid w:val="00E43395"/>
    <w:rsid w:val="00E441BF"/>
    <w:rsid w:val="00E46362"/>
    <w:rsid w:val="00E465B7"/>
    <w:rsid w:val="00E46B47"/>
    <w:rsid w:val="00E47255"/>
    <w:rsid w:val="00E47485"/>
    <w:rsid w:val="00E47A92"/>
    <w:rsid w:val="00E53D67"/>
    <w:rsid w:val="00E54058"/>
    <w:rsid w:val="00E551E0"/>
    <w:rsid w:val="00E554F8"/>
    <w:rsid w:val="00E557E6"/>
    <w:rsid w:val="00E5582B"/>
    <w:rsid w:val="00E55C26"/>
    <w:rsid w:val="00E56157"/>
    <w:rsid w:val="00E56170"/>
    <w:rsid w:val="00E562B5"/>
    <w:rsid w:val="00E56810"/>
    <w:rsid w:val="00E56A27"/>
    <w:rsid w:val="00E57A01"/>
    <w:rsid w:val="00E6066D"/>
    <w:rsid w:val="00E60C75"/>
    <w:rsid w:val="00E61576"/>
    <w:rsid w:val="00E61F2D"/>
    <w:rsid w:val="00E62F57"/>
    <w:rsid w:val="00E63376"/>
    <w:rsid w:val="00E64DA1"/>
    <w:rsid w:val="00E6640C"/>
    <w:rsid w:val="00E6710F"/>
    <w:rsid w:val="00E7105F"/>
    <w:rsid w:val="00E71A39"/>
    <w:rsid w:val="00E72B74"/>
    <w:rsid w:val="00E72F21"/>
    <w:rsid w:val="00E73365"/>
    <w:rsid w:val="00E7493D"/>
    <w:rsid w:val="00E74C9F"/>
    <w:rsid w:val="00E75AB1"/>
    <w:rsid w:val="00E764AB"/>
    <w:rsid w:val="00E77872"/>
    <w:rsid w:val="00E77A8E"/>
    <w:rsid w:val="00E77C61"/>
    <w:rsid w:val="00E80DF2"/>
    <w:rsid w:val="00E85AB7"/>
    <w:rsid w:val="00E86C70"/>
    <w:rsid w:val="00E90598"/>
    <w:rsid w:val="00E91DE6"/>
    <w:rsid w:val="00E921C3"/>
    <w:rsid w:val="00E92569"/>
    <w:rsid w:val="00E95A72"/>
    <w:rsid w:val="00EA0DE3"/>
    <w:rsid w:val="00EA2ED2"/>
    <w:rsid w:val="00EA729E"/>
    <w:rsid w:val="00EB0C7D"/>
    <w:rsid w:val="00EB124A"/>
    <w:rsid w:val="00EB3886"/>
    <w:rsid w:val="00EB599A"/>
    <w:rsid w:val="00EB6F1B"/>
    <w:rsid w:val="00EC032E"/>
    <w:rsid w:val="00EC0506"/>
    <w:rsid w:val="00EC107F"/>
    <w:rsid w:val="00EC21A9"/>
    <w:rsid w:val="00EC2925"/>
    <w:rsid w:val="00EC33C3"/>
    <w:rsid w:val="00EC4B29"/>
    <w:rsid w:val="00EC4F93"/>
    <w:rsid w:val="00EC601E"/>
    <w:rsid w:val="00EC64AB"/>
    <w:rsid w:val="00EC6721"/>
    <w:rsid w:val="00ED0488"/>
    <w:rsid w:val="00ED2BED"/>
    <w:rsid w:val="00ED317C"/>
    <w:rsid w:val="00ED3689"/>
    <w:rsid w:val="00ED3E18"/>
    <w:rsid w:val="00ED5CF6"/>
    <w:rsid w:val="00ED716B"/>
    <w:rsid w:val="00ED7BD7"/>
    <w:rsid w:val="00EE23DA"/>
    <w:rsid w:val="00EE40E2"/>
    <w:rsid w:val="00EE6C2C"/>
    <w:rsid w:val="00EE7B37"/>
    <w:rsid w:val="00EF1313"/>
    <w:rsid w:val="00EF1947"/>
    <w:rsid w:val="00EF323A"/>
    <w:rsid w:val="00EF4788"/>
    <w:rsid w:val="00EF4FD8"/>
    <w:rsid w:val="00EF503B"/>
    <w:rsid w:val="00EF6699"/>
    <w:rsid w:val="00EF72DE"/>
    <w:rsid w:val="00F0043D"/>
    <w:rsid w:val="00F01366"/>
    <w:rsid w:val="00F017F6"/>
    <w:rsid w:val="00F0391F"/>
    <w:rsid w:val="00F045A7"/>
    <w:rsid w:val="00F04BC4"/>
    <w:rsid w:val="00F0586F"/>
    <w:rsid w:val="00F10F9C"/>
    <w:rsid w:val="00F1212E"/>
    <w:rsid w:val="00F1264B"/>
    <w:rsid w:val="00F126AC"/>
    <w:rsid w:val="00F13138"/>
    <w:rsid w:val="00F2204E"/>
    <w:rsid w:val="00F23D5C"/>
    <w:rsid w:val="00F2453B"/>
    <w:rsid w:val="00F256BB"/>
    <w:rsid w:val="00F25C40"/>
    <w:rsid w:val="00F26999"/>
    <w:rsid w:val="00F26DC0"/>
    <w:rsid w:val="00F27DE2"/>
    <w:rsid w:val="00F31378"/>
    <w:rsid w:val="00F35D53"/>
    <w:rsid w:val="00F36FDC"/>
    <w:rsid w:val="00F374F8"/>
    <w:rsid w:val="00F40479"/>
    <w:rsid w:val="00F4191E"/>
    <w:rsid w:val="00F41D2F"/>
    <w:rsid w:val="00F44105"/>
    <w:rsid w:val="00F447C4"/>
    <w:rsid w:val="00F4538B"/>
    <w:rsid w:val="00F45AA2"/>
    <w:rsid w:val="00F46D36"/>
    <w:rsid w:val="00F46D44"/>
    <w:rsid w:val="00F46E8C"/>
    <w:rsid w:val="00F475D2"/>
    <w:rsid w:val="00F47B49"/>
    <w:rsid w:val="00F47C00"/>
    <w:rsid w:val="00F54493"/>
    <w:rsid w:val="00F569FF"/>
    <w:rsid w:val="00F600FC"/>
    <w:rsid w:val="00F6038E"/>
    <w:rsid w:val="00F606B2"/>
    <w:rsid w:val="00F6413A"/>
    <w:rsid w:val="00F64BE9"/>
    <w:rsid w:val="00F66741"/>
    <w:rsid w:val="00F66A32"/>
    <w:rsid w:val="00F70F65"/>
    <w:rsid w:val="00F713D6"/>
    <w:rsid w:val="00F72C2B"/>
    <w:rsid w:val="00F75226"/>
    <w:rsid w:val="00F75A90"/>
    <w:rsid w:val="00F75FA0"/>
    <w:rsid w:val="00F778DE"/>
    <w:rsid w:val="00F80D62"/>
    <w:rsid w:val="00F81A91"/>
    <w:rsid w:val="00F81CBD"/>
    <w:rsid w:val="00F82781"/>
    <w:rsid w:val="00F83135"/>
    <w:rsid w:val="00F854DD"/>
    <w:rsid w:val="00F855F8"/>
    <w:rsid w:val="00F85B80"/>
    <w:rsid w:val="00F9039D"/>
    <w:rsid w:val="00F9044E"/>
    <w:rsid w:val="00F904A6"/>
    <w:rsid w:val="00F90D9B"/>
    <w:rsid w:val="00F91FE5"/>
    <w:rsid w:val="00F92132"/>
    <w:rsid w:val="00F9375A"/>
    <w:rsid w:val="00F93AA5"/>
    <w:rsid w:val="00F9401A"/>
    <w:rsid w:val="00F95E2B"/>
    <w:rsid w:val="00FA09A5"/>
    <w:rsid w:val="00FA16E6"/>
    <w:rsid w:val="00FA3453"/>
    <w:rsid w:val="00FA72D9"/>
    <w:rsid w:val="00FA73BE"/>
    <w:rsid w:val="00FA75F1"/>
    <w:rsid w:val="00FB1598"/>
    <w:rsid w:val="00FB1844"/>
    <w:rsid w:val="00FB76CC"/>
    <w:rsid w:val="00FC012B"/>
    <w:rsid w:val="00FC0151"/>
    <w:rsid w:val="00FC19C8"/>
    <w:rsid w:val="00FC2550"/>
    <w:rsid w:val="00FC3D3B"/>
    <w:rsid w:val="00FC3EE1"/>
    <w:rsid w:val="00FC636D"/>
    <w:rsid w:val="00FC7581"/>
    <w:rsid w:val="00FD1051"/>
    <w:rsid w:val="00FD1A70"/>
    <w:rsid w:val="00FD1B28"/>
    <w:rsid w:val="00FD2371"/>
    <w:rsid w:val="00FD2C8C"/>
    <w:rsid w:val="00FD54C9"/>
    <w:rsid w:val="00FD6A6F"/>
    <w:rsid w:val="00FD76CD"/>
    <w:rsid w:val="00FE127A"/>
    <w:rsid w:val="00FE46C6"/>
    <w:rsid w:val="00FE5F10"/>
    <w:rsid w:val="00FE7E4C"/>
    <w:rsid w:val="00FF0E3F"/>
    <w:rsid w:val="00FF375C"/>
    <w:rsid w:val="00FF386C"/>
    <w:rsid w:val="00FF3CB8"/>
    <w:rsid w:val="00FF59CC"/>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9D29"/>
  <w15:chartTrackingRefBased/>
  <w15:docId w15:val="{E627BAB7-88DB-2740-B4E2-2FA9EF33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mj"/>
    <w:qFormat/>
    <w:rsid w:val="00F64BE9"/>
    <w:pPr>
      <w:ind w:firstLine="720"/>
      <w:jc w:val="both"/>
    </w:pPr>
    <w:rPr>
      <w:rFonts w:eastAsia="Times New Roman" w:cs="Times New Roman"/>
      <w:lang w:eastAsia="en-GB"/>
    </w:rPr>
  </w:style>
  <w:style w:type="paragraph" w:styleId="Heading1">
    <w:name w:val="heading 1"/>
    <w:basedOn w:val="Normal"/>
    <w:next w:val="Normal"/>
    <w:link w:val="Heading1Char"/>
    <w:uiPriority w:val="9"/>
    <w:qFormat/>
    <w:rsid w:val="00F64B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rsid w:val="00F64B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BE9"/>
  </w:style>
  <w:style w:type="paragraph" w:customStyle="1" w:styleId="Input-intervju">
    <w:name w:val="Input-intervju"/>
    <w:basedOn w:val="Normal"/>
    <w:qFormat/>
    <w:rsid w:val="00F64BE9"/>
    <w:rPr>
      <w:color w:val="806000" w:themeColor="accent4" w:themeShade="80"/>
      <w:sz w:val="20"/>
      <w:lang w:val="nb-NO"/>
    </w:rPr>
  </w:style>
  <w:style w:type="paragraph" w:styleId="NormalWeb">
    <w:name w:val="Normal (Web)"/>
    <w:basedOn w:val="Normal"/>
    <w:uiPriority w:val="99"/>
    <w:unhideWhenUsed/>
    <w:rsid w:val="00B6338F"/>
    <w:pPr>
      <w:spacing w:before="100" w:beforeAutospacing="1" w:after="100" w:afterAutospacing="1"/>
    </w:pPr>
  </w:style>
  <w:style w:type="character" w:styleId="Emphasis">
    <w:name w:val="Emphasis"/>
    <w:basedOn w:val="DefaultParagraphFont"/>
    <w:uiPriority w:val="20"/>
    <w:qFormat/>
    <w:rsid w:val="00B6338F"/>
    <w:rPr>
      <w:i/>
      <w:iCs/>
    </w:rPr>
  </w:style>
  <w:style w:type="paragraph" w:styleId="ListParagraph">
    <w:name w:val="List Paragraph"/>
    <w:basedOn w:val="Normal"/>
    <w:uiPriority w:val="34"/>
    <w:qFormat/>
    <w:rsid w:val="00193F9E"/>
    <w:pPr>
      <w:ind w:left="720"/>
      <w:contextualSpacing/>
    </w:pPr>
  </w:style>
  <w:style w:type="character" w:customStyle="1" w:styleId="Heading1Char">
    <w:name w:val="Heading 1 Char"/>
    <w:basedOn w:val="DefaultParagraphFont"/>
    <w:link w:val="Heading1"/>
    <w:uiPriority w:val="9"/>
    <w:rsid w:val="00F64BE9"/>
    <w:rPr>
      <w:rFonts w:asciiTheme="majorHAnsi" w:eastAsiaTheme="majorEastAsia" w:hAnsiTheme="majorHAnsi" w:cstheme="majorBidi"/>
      <w:color w:val="2F5496" w:themeColor="accent1" w:themeShade="BF"/>
      <w:sz w:val="32"/>
      <w:szCs w:val="32"/>
      <w:lang w:eastAsia="en-GB"/>
    </w:rPr>
  </w:style>
  <w:style w:type="character" w:styleId="PlaceholderText">
    <w:name w:val="Placeholder Text"/>
    <w:basedOn w:val="DefaultParagraphFont"/>
    <w:uiPriority w:val="99"/>
    <w:semiHidden/>
    <w:rsid w:val="0027553B"/>
    <w:rPr>
      <w:color w:val="808080"/>
    </w:rPr>
  </w:style>
  <w:style w:type="character" w:styleId="Hyperlink">
    <w:name w:val="Hyperlink"/>
    <w:basedOn w:val="DefaultParagraphFont"/>
    <w:uiPriority w:val="99"/>
    <w:unhideWhenUsed/>
    <w:rsid w:val="005B7E92"/>
    <w:rPr>
      <w:color w:val="0563C1" w:themeColor="hyperlink"/>
      <w:u w:val="single"/>
    </w:rPr>
  </w:style>
  <w:style w:type="character" w:styleId="UnresolvedMention">
    <w:name w:val="Unresolved Mention"/>
    <w:basedOn w:val="DefaultParagraphFont"/>
    <w:uiPriority w:val="99"/>
    <w:semiHidden/>
    <w:unhideWhenUsed/>
    <w:rsid w:val="005B7E92"/>
    <w:rPr>
      <w:color w:val="605E5C"/>
      <w:shd w:val="clear" w:color="auto" w:fill="E1DFDD"/>
    </w:rPr>
  </w:style>
  <w:style w:type="character" w:styleId="FollowedHyperlink">
    <w:name w:val="FollowedHyperlink"/>
    <w:basedOn w:val="DefaultParagraphFont"/>
    <w:uiPriority w:val="99"/>
    <w:semiHidden/>
    <w:unhideWhenUsed/>
    <w:rsid w:val="00F256BB"/>
    <w:rPr>
      <w:color w:val="954F72" w:themeColor="followedHyperlink"/>
      <w:u w:val="single"/>
    </w:rPr>
  </w:style>
  <w:style w:type="paragraph" w:customStyle="1" w:styleId="EndNoteBibliographyTitle">
    <w:name w:val="EndNote Bibliography Title"/>
    <w:basedOn w:val="Normal"/>
    <w:link w:val="EndNoteBibliographyTitleChar"/>
    <w:rsid w:val="00CC0B42"/>
    <w:pPr>
      <w:jc w:val="center"/>
    </w:pPr>
    <w:rPr>
      <w:rFonts w:ascii="Calibri" w:hAnsi="Calibri" w:cs="Calibri"/>
      <w:lang w:val="en-GB"/>
    </w:rPr>
  </w:style>
  <w:style w:type="character" w:customStyle="1" w:styleId="EndNoteBibliographyTitleChar">
    <w:name w:val="EndNote Bibliography Title Char"/>
    <w:basedOn w:val="DefaultParagraphFont"/>
    <w:link w:val="EndNoteBibliographyTitle"/>
    <w:rsid w:val="00CC0B42"/>
    <w:rPr>
      <w:rFonts w:ascii="Calibri" w:eastAsia="Times New Roman" w:hAnsi="Calibri" w:cs="Calibri"/>
      <w:lang w:val="en-GB" w:eastAsia="en-GB"/>
    </w:rPr>
  </w:style>
  <w:style w:type="paragraph" w:customStyle="1" w:styleId="EndNoteBibliography">
    <w:name w:val="EndNote Bibliography"/>
    <w:basedOn w:val="Normal"/>
    <w:link w:val="EndNoteBibliographyChar"/>
    <w:rsid w:val="00CC0B42"/>
    <w:rPr>
      <w:rFonts w:ascii="Calibri" w:hAnsi="Calibri" w:cs="Calibri"/>
      <w:lang w:val="en-GB"/>
    </w:rPr>
  </w:style>
  <w:style w:type="character" w:customStyle="1" w:styleId="EndNoteBibliographyChar">
    <w:name w:val="EndNote Bibliography Char"/>
    <w:basedOn w:val="DefaultParagraphFont"/>
    <w:link w:val="EndNoteBibliography"/>
    <w:rsid w:val="00CC0B42"/>
    <w:rPr>
      <w:rFonts w:ascii="Calibri" w:eastAsia="Times New Roman" w:hAnsi="Calibri" w:cs="Calibri"/>
      <w:lang w:val="en-GB" w:eastAsia="en-GB"/>
    </w:rPr>
  </w:style>
  <w:style w:type="paragraph" w:styleId="FootnoteText">
    <w:name w:val="footnote text"/>
    <w:basedOn w:val="Normal"/>
    <w:link w:val="FootnoteTextChar"/>
    <w:uiPriority w:val="99"/>
    <w:unhideWhenUsed/>
    <w:rsid w:val="008952E5"/>
    <w:rPr>
      <w:szCs w:val="20"/>
    </w:rPr>
  </w:style>
  <w:style w:type="character" w:customStyle="1" w:styleId="FootnoteTextChar">
    <w:name w:val="Footnote Text Char"/>
    <w:basedOn w:val="DefaultParagraphFont"/>
    <w:link w:val="FootnoteText"/>
    <w:uiPriority w:val="99"/>
    <w:rsid w:val="008952E5"/>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8952E5"/>
    <w:rPr>
      <w:vertAlign w:val="superscript"/>
    </w:rPr>
  </w:style>
  <w:style w:type="character" w:customStyle="1" w:styleId="apple-converted-space">
    <w:name w:val="apple-converted-space"/>
    <w:basedOn w:val="DefaultParagraphFont"/>
    <w:rsid w:val="006007AA"/>
  </w:style>
  <w:style w:type="table" w:styleId="TableGrid">
    <w:name w:val="Table Grid"/>
    <w:basedOn w:val="TableNormal"/>
    <w:uiPriority w:val="39"/>
    <w:rsid w:val="0054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2132"/>
    <w:pPr>
      <w:ind w:firstLine="720"/>
    </w:pPr>
    <w:rPr>
      <w:rFonts w:ascii="Times New Roman" w:eastAsia="Times New Roman" w:hAnsi="Times New Roman" w:cs="Times New Roman"/>
      <w:sz w:val="20"/>
      <w:lang w:eastAsia="en-GB"/>
    </w:rPr>
  </w:style>
  <w:style w:type="character" w:styleId="CommentReference">
    <w:name w:val="annotation reference"/>
    <w:basedOn w:val="DefaultParagraphFont"/>
    <w:uiPriority w:val="99"/>
    <w:semiHidden/>
    <w:unhideWhenUsed/>
    <w:rsid w:val="007B67E5"/>
    <w:rPr>
      <w:sz w:val="16"/>
      <w:szCs w:val="16"/>
    </w:rPr>
  </w:style>
  <w:style w:type="paragraph" w:styleId="CommentText">
    <w:name w:val="annotation text"/>
    <w:basedOn w:val="Normal"/>
    <w:link w:val="CommentTextChar"/>
    <w:uiPriority w:val="99"/>
    <w:semiHidden/>
    <w:unhideWhenUsed/>
    <w:rsid w:val="007B67E5"/>
    <w:rPr>
      <w:szCs w:val="20"/>
    </w:rPr>
  </w:style>
  <w:style w:type="character" w:customStyle="1" w:styleId="CommentTextChar">
    <w:name w:val="Comment Text Char"/>
    <w:basedOn w:val="DefaultParagraphFont"/>
    <w:link w:val="CommentText"/>
    <w:uiPriority w:val="99"/>
    <w:semiHidden/>
    <w:rsid w:val="007B67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569D"/>
    <w:rPr>
      <w:b/>
      <w:bCs/>
    </w:rPr>
  </w:style>
  <w:style w:type="character" w:customStyle="1" w:styleId="CommentSubjectChar">
    <w:name w:val="Comment Subject Char"/>
    <w:basedOn w:val="CommentTextChar"/>
    <w:link w:val="CommentSubject"/>
    <w:uiPriority w:val="99"/>
    <w:semiHidden/>
    <w:rsid w:val="00B6569D"/>
    <w:rPr>
      <w:rFonts w:ascii="Times New Roman" w:eastAsia="Times New Roman" w:hAnsi="Times New Roman" w:cs="Times New Roman"/>
      <w:b/>
      <w:bCs/>
      <w:sz w:val="20"/>
      <w:szCs w:val="20"/>
      <w:lang w:val="nb-NO" w:eastAsia="en-GB"/>
    </w:rPr>
  </w:style>
  <w:style w:type="paragraph" w:styleId="Revision">
    <w:name w:val="Revision"/>
    <w:hidden/>
    <w:uiPriority w:val="99"/>
    <w:semiHidden/>
    <w:rsid w:val="008D5F9F"/>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319">
      <w:bodyDiv w:val="1"/>
      <w:marLeft w:val="0"/>
      <w:marRight w:val="0"/>
      <w:marTop w:val="0"/>
      <w:marBottom w:val="0"/>
      <w:divBdr>
        <w:top w:val="none" w:sz="0" w:space="0" w:color="auto"/>
        <w:left w:val="none" w:sz="0" w:space="0" w:color="auto"/>
        <w:bottom w:val="none" w:sz="0" w:space="0" w:color="auto"/>
        <w:right w:val="none" w:sz="0" w:space="0" w:color="auto"/>
      </w:divBdr>
    </w:div>
    <w:div w:id="1024213914">
      <w:bodyDiv w:val="1"/>
      <w:marLeft w:val="0"/>
      <w:marRight w:val="0"/>
      <w:marTop w:val="0"/>
      <w:marBottom w:val="0"/>
      <w:divBdr>
        <w:top w:val="none" w:sz="0" w:space="0" w:color="auto"/>
        <w:left w:val="none" w:sz="0" w:space="0" w:color="auto"/>
        <w:bottom w:val="none" w:sz="0" w:space="0" w:color="auto"/>
        <w:right w:val="none" w:sz="0" w:space="0" w:color="auto"/>
      </w:divBdr>
    </w:div>
    <w:div w:id="1091972339">
      <w:bodyDiv w:val="1"/>
      <w:marLeft w:val="0"/>
      <w:marRight w:val="0"/>
      <w:marTop w:val="0"/>
      <w:marBottom w:val="0"/>
      <w:divBdr>
        <w:top w:val="none" w:sz="0" w:space="0" w:color="auto"/>
        <w:left w:val="none" w:sz="0" w:space="0" w:color="auto"/>
        <w:bottom w:val="none" w:sz="0" w:space="0" w:color="auto"/>
        <w:right w:val="none" w:sz="0" w:space="0" w:color="auto"/>
      </w:divBdr>
    </w:div>
    <w:div w:id="1355379484">
      <w:bodyDiv w:val="1"/>
      <w:marLeft w:val="0"/>
      <w:marRight w:val="0"/>
      <w:marTop w:val="0"/>
      <w:marBottom w:val="0"/>
      <w:divBdr>
        <w:top w:val="none" w:sz="0" w:space="0" w:color="auto"/>
        <w:left w:val="none" w:sz="0" w:space="0" w:color="auto"/>
        <w:bottom w:val="none" w:sz="0" w:space="0" w:color="auto"/>
        <w:right w:val="none" w:sz="0" w:space="0" w:color="auto"/>
      </w:divBdr>
    </w:div>
    <w:div w:id="1588491237">
      <w:bodyDiv w:val="1"/>
      <w:marLeft w:val="0"/>
      <w:marRight w:val="0"/>
      <w:marTop w:val="0"/>
      <w:marBottom w:val="0"/>
      <w:divBdr>
        <w:top w:val="none" w:sz="0" w:space="0" w:color="auto"/>
        <w:left w:val="none" w:sz="0" w:space="0" w:color="auto"/>
        <w:bottom w:val="none" w:sz="0" w:space="0" w:color="auto"/>
        <w:right w:val="none" w:sz="0" w:space="0" w:color="auto"/>
      </w:divBdr>
    </w:div>
    <w:div w:id="1905751415">
      <w:bodyDiv w:val="1"/>
      <w:marLeft w:val="0"/>
      <w:marRight w:val="0"/>
      <w:marTop w:val="0"/>
      <w:marBottom w:val="0"/>
      <w:divBdr>
        <w:top w:val="none" w:sz="0" w:space="0" w:color="auto"/>
        <w:left w:val="none" w:sz="0" w:space="0" w:color="auto"/>
        <w:bottom w:val="none" w:sz="0" w:space="0" w:color="auto"/>
        <w:right w:val="none" w:sz="0" w:space="0" w:color="auto"/>
      </w:divBdr>
    </w:div>
    <w:div w:id="2077239305">
      <w:bodyDiv w:val="1"/>
      <w:marLeft w:val="0"/>
      <w:marRight w:val="0"/>
      <w:marTop w:val="0"/>
      <w:marBottom w:val="0"/>
      <w:divBdr>
        <w:top w:val="none" w:sz="0" w:space="0" w:color="auto"/>
        <w:left w:val="none" w:sz="0" w:space="0" w:color="auto"/>
        <w:bottom w:val="none" w:sz="0" w:space="0" w:color="auto"/>
        <w:right w:val="none" w:sz="0" w:space="0" w:color="auto"/>
      </w:divBdr>
    </w:div>
    <w:div w:id="20842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4DA0A8-8652-C44B-8C72-2FDFAD427A5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551E-21EA-944B-B3FF-A600A437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3664</Words>
  <Characters>20889</Characters>
  <Application>Microsoft Office Word</Application>
  <DocSecurity>0</DocSecurity>
  <Lines>174</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Jorgensen</dc:creator>
  <cp:keywords/>
  <dc:description/>
  <cp:lastModifiedBy>Magne Jorgensen</cp:lastModifiedBy>
  <cp:revision>75</cp:revision>
  <cp:lastPrinted>2021-06-05T05:46:00Z</cp:lastPrinted>
  <dcterms:created xsi:type="dcterms:W3CDTF">2021-09-21T06:25:00Z</dcterms:created>
  <dcterms:modified xsi:type="dcterms:W3CDTF">2021-09-22T08:25:00Z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documentId_2377</vt:lpwstr>
  </property>
  <property fmtid="{D5CDD505-2E9C-101B-9397-08002B2CF9AE}" pid="3" name="grammarly_documentContext">
    <vt:lpwstr>{"goals":[],"domain":"general","emotions":[],"dialect":"american"}</vt:lpwstr>
  </property>
</Properties>
</file>